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0A13" w14:textId="77777777" w:rsidR="00360D41" w:rsidRPr="00EC51C2" w:rsidRDefault="00360D41">
      <w:pPr>
        <w:rPr>
          <w:rFonts w:ascii="Verdana" w:hAnsi="Verdana"/>
          <w:b/>
          <w:sz w:val="18"/>
          <w:szCs w:val="18"/>
        </w:rPr>
      </w:pPr>
      <w:bookmarkStart w:id="0" w:name="_GoBack"/>
      <w:bookmarkEnd w:id="0"/>
      <w:r w:rsidRPr="00EC51C2">
        <w:rPr>
          <w:rFonts w:ascii="Verdana" w:hAnsi="Verdana"/>
          <w:b/>
          <w:noProof/>
          <w:sz w:val="18"/>
          <w:szCs w:val="18"/>
          <w:lang w:eastAsia="nl-NL"/>
        </w:rPr>
        <w:drawing>
          <wp:anchor distT="0" distB="0" distL="114300" distR="114300" simplePos="0" relativeHeight="251657216" behindDoc="0" locked="0" layoutInCell="1" allowOverlap="1" wp14:anchorId="6F3F68DC" wp14:editId="6EA6AFA3">
            <wp:simplePos x="0" y="0"/>
            <wp:positionH relativeFrom="column">
              <wp:posOffset>-71120</wp:posOffset>
            </wp:positionH>
            <wp:positionV relativeFrom="paragraph">
              <wp:posOffset>-699770</wp:posOffset>
            </wp:positionV>
            <wp:extent cx="1200150" cy="12001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_Logo_RGB_100__met_tekst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r w:rsidR="00A03CC7" w:rsidRPr="00EC51C2">
        <w:rPr>
          <w:rFonts w:ascii="Verdana" w:hAnsi="Verdana"/>
          <w:b/>
          <w:sz w:val="18"/>
          <w:szCs w:val="18"/>
        </w:rPr>
        <w:t>zzp</w:t>
      </w:r>
    </w:p>
    <w:p w14:paraId="4AF570D7" w14:textId="77777777" w:rsidR="00360D41" w:rsidRPr="00EC51C2" w:rsidRDefault="00360D41">
      <w:pPr>
        <w:rPr>
          <w:rFonts w:ascii="Verdana" w:hAnsi="Verdana"/>
          <w:b/>
          <w:sz w:val="18"/>
          <w:szCs w:val="18"/>
        </w:rPr>
      </w:pPr>
    </w:p>
    <w:p w14:paraId="44F6BE59" w14:textId="3787636D" w:rsidR="00F6285E" w:rsidRPr="00EC51C2" w:rsidRDefault="00F6285E">
      <w:pPr>
        <w:rPr>
          <w:rFonts w:ascii="Verdana" w:hAnsi="Verdana"/>
          <w:b/>
        </w:rPr>
      </w:pPr>
      <w:r w:rsidRPr="00EC51C2">
        <w:rPr>
          <w:rFonts w:ascii="Verdana" w:hAnsi="Verdana"/>
          <w:b/>
        </w:rPr>
        <w:t xml:space="preserve">Toelichting </w:t>
      </w:r>
      <w:r w:rsidR="003C02D1" w:rsidRPr="00EC51C2">
        <w:rPr>
          <w:rFonts w:ascii="Verdana" w:hAnsi="Verdana"/>
          <w:b/>
        </w:rPr>
        <w:t>m</w:t>
      </w:r>
      <w:r w:rsidR="0081789E" w:rsidRPr="00EC51C2">
        <w:rPr>
          <w:rFonts w:ascii="Verdana" w:hAnsi="Verdana"/>
          <w:b/>
        </w:rPr>
        <w:t>odel begroting</w:t>
      </w:r>
      <w:r w:rsidR="00355A8D" w:rsidRPr="00EC51C2">
        <w:rPr>
          <w:rFonts w:ascii="Verdana" w:hAnsi="Verdana"/>
          <w:b/>
        </w:rPr>
        <w:t xml:space="preserve"> </w:t>
      </w:r>
      <w:r w:rsidR="0081789E" w:rsidRPr="00EC51C2">
        <w:rPr>
          <w:rFonts w:ascii="Verdana" w:hAnsi="Verdana"/>
          <w:b/>
        </w:rPr>
        <w:t xml:space="preserve">verantwoording kwaliteitsbudget </w:t>
      </w:r>
      <w:r w:rsidR="00F65B49" w:rsidRPr="00EC51C2">
        <w:rPr>
          <w:rFonts w:ascii="Verdana" w:hAnsi="Verdana"/>
          <w:b/>
        </w:rPr>
        <w:t>202</w:t>
      </w:r>
      <w:r w:rsidR="00AB01B3">
        <w:rPr>
          <w:rFonts w:ascii="Verdana" w:hAnsi="Verdana"/>
          <w:b/>
        </w:rPr>
        <w:t>1</w:t>
      </w:r>
      <w:r w:rsidR="00F65B49" w:rsidRPr="00EC51C2">
        <w:rPr>
          <w:rFonts w:ascii="Verdana" w:hAnsi="Verdana"/>
          <w:b/>
        </w:rPr>
        <w:t xml:space="preserve"> </w:t>
      </w:r>
      <w:r w:rsidR="005E10B2" w:rsidRPr="00EC51C2">
        <w:rPr>
          <w:rFonts w:ascii="Verdana" w:hAnsi="Verdana"/>
          <w:b/>
        </w:rPr>
        <w:t>verpleeghuiszorg</w:t>
      </w:r>
    </w:p>
    <w:p w14:paraId="48F138CB" w14:textId="27C18425" w:rsidR="00F65B49" w:rsidRPr="00EC51C2" w:rsidRDefault="001F46D1">
      <w:pPr>
        <w:rPr>
          <w:rFonts w:ascii="Verdana" w:hAnsi="Verdana"/>
          <w:b/>
          <w:sz w:val="18"/>
          <w:szCs w:val="18"/>
        </w:rPr>
      </w:pPr>
      <w:bookmarkStart w:id="1" w:name="Versie"/>
      <w:r>
        <w:rPr>
          <w:rFonts w:ascii="Verdana" w:hAnsi="Verdana"/>
          <w:b/>
          <w:sz w:val="18"/>
          <w:szCs w:val="18"/>
        </w:rPr>
        <w:t>V</w:t>
      </w:r>
      <w:r w:rsidR="009D2BDD" w:rsidRPr="00EC51C2">
        <w:rPr>
          <w:rFonts w:ascii="Verdana" w:hAnsi="Verdana"/>
          <w:b/>
          <w:sz w:val="18"/>
          <w:szCs w:val="18"/>
        </w:rPr>
        <w:t>ersie</w:t>
      </w:r>
      <w:r>
        <w:rPr>
          <w:rFonts w:ascii="Verdana" w:hAnsi="Verdana"/>
          <w:b/>
          <w:sz w:val="18"/>
          <w:szCs w:val="18"/>
        </w:rPr>
        <w:t xml:space="preserve"> </w:t>
      </w:r>
      <w:r w:rsidR="00C42D17">
        <w:rPr>
          <w:rFonts w:ascii="Verdana" w:hAnsi="Verdana"/>
          <w:b/>
          <w:sz w:val="18"/>
          <w:szCs w:val="18"/>
        </w:rPr>
        <w:t>1.</w:t>
      </w:r>
      <w:r w:rsidR="00DB7A90">
        <w:rPr>
          <w:rFonts w:ascii="Verdana" w:hAnsi="Verdana"/>
          <w:b/>
          <w:sz w:val="18"/>
          <w:szCs w:val="18"/>
        </w:rPr>
        <w:t>3</w:t>
      </w:r>
      <w:r>
        <w:rPr>
          <w:rFonts w:ascii="Verdana" w:hAnsi="Verdana"/>
          <w:b/>
          <w:sz w:val="18"/>
          <w:szCs w:val="18"/>
        </w:rPr>
        <w:t>, gewijzigd 20 oktober 2020</w:t>
      </w:r>
    </w:p>
    <w:bookmarkEnd w:id="1"/>
    <w:p w14:paraId="67B0125F" w14:textId="77777777" w:rsidR="00DD7969" w:rsidRPr="00DD7969" w:rsidRDefault="0054376D" w:rsidP="00DD7969">
      <w:pPr>
        <w:autoSpaceDE w:val="0"/>
        <w:autoSpaceDN w:val="0"/>
        <w:adjustRightInd w:val="0"/>
        <w:spacing w:line="23" w:lineRule="atLeast"/>
        <w:rPr>
          <w:rFonts w:ascii="Verdana" w:hAnsi="Verdana"/>
          <w:sz w:val="18"/>
          <w:szCs w:val="18"/>
        </w:rPr>
      </w:pPr>
      <w:r w:rsidRPr="00EC51C2">
        <w:rPr>
          <w:rFonts w:ascii="Verdana" w:hAnsi="Verdana"/>
          <w:sz w:val="18"/>
          <w:szCs w:val="18"/>
        </w:rPr>
        <w:t xml:space="preserve">Voor de implementatie van het kwaliteitskader verpleeghuiszorg en het programmaplan </w:t>
      </w:r>
      <w:r w:rsidR="00140D66" w:rsidRPr="00EC51C2">
        <w:rPr>
          <w:rFonts w:ascii="Verdana" w:hAnsi="Verdana"/>
          <w:sz w:val="18"/>
          <w:szCs w:val="18"/>
        </w:rPr>
        <w:t>‘</w:t>
      </w:r>
      <w:r w:rsidRPr="00EC51C2">
        <w:rPr>
          <w:rFonts w:ascii="Verdana" w:hAnsi="Verdana"/>
          <w:sz w:val="18"/>
          <w:szCs w:val="18"/>
        </w:rPr>
        <w:t>Thuis in het verpleeghui</w:t>
      </w:r>
      <w:r w:rsidR="00140D66" w:rsidRPr="00EC51C2">
        <w:rPr>
          <w:rFonts w:ascii="Verdana" w:hAnsi="Verdana"/>
          <w:sz w:val="18"/>
          <w:szCs w:val="18"/>
        </w:rPr>
        <w:t>s’</w:t>
      </w:r>
      <w:r w:rsidRPr="00EC51C2">
        <w:rPr>
          <w:rFonts w:ascii="Verdana" w:hAnsi="Verdana"/>
          <w:sz w:val="18"/>
          <w:szCs w:val="18"/>
        </w:rPr>
        <w:t xml:space="preserve"> zijn er extra middelen beschikbaar gesteld voor de ouderenzorg. </w:t>
      </w:r>
      <w:r w:rsidR="00DE65D0" w:rsidRPr="00EC51C2">
        <w:rPr>
          <w:rFonts w:ascii="Verdana" w:hAnsi="Verdana"/>
          <w:sz w:val="18"/>
          <w:szCs w:val="18"/>
        </w:rPr>
        <w:t>Er</w:t>
      </w:r>
      <w:r w:rsidRPr="00EC51C2">
        <w:rPr>
          <w:rFonts w:ascii="Verdana" w:hAnsi="Verdana"/>
          <w:sz w:val="18"/>
          <w:szCs w:val="18"/>
        </w:rPr>
        <w:t xml:space="preserve"> is </w:t>
      </w:r>
      <w:r w:rsidR="00301D5C" w:rsidRPr="00EC51C2">
        <w:rPr>
          <w:rFonts w:ascii="Verdana" w:hAnsi="Verdana"/>
          <w:sz w:val="18"/>
          <w:szCs w:val="18"/>
        </w:rPr>
        <w:t xml:space="preserve">€ </w:t>
      </w:r>
      <w:r w:rsidRPr="00EC51C2">
        <w:rPr>
          <w:rFonts w:ascii="Verdana" w:hAnsi="Verdana"/>
          <w:sz w:val="18"/>
          <w:szCs w:val="18"/>
        </w:rPr>
        <w:t xml:space="preserve">2,1 miljard gereserveerd, waarbij de verwachting is dat dit budget na 2021 </w:t>
      </w:r>
      <w:r w:rsidR="00B60C10" w:rsidRPr="00EC51C2">
        <w:rPr>
          <w:rFonts w:ascii="Verdana" w:hAnsi="Verdana"/>
          <w:sz w:val="18"/>
          <w:szCs w:val="18"/>
        </w:rPr>
        <w:t xml:space="preserve">structureel </w:t>
      </w:r>
      <w:r w:rsidRPr="00EC51C2">
        <w:rPr>
          <w:rFonts w:ascii="Verdana" w:hAnsi="Verdana"/>
          <w:sz w:val="18"/>
          <w:szCs w:val="18"/>
        </w:rPr>
        <w:t>in de tarieven verwerkt word</w:t>
      </w:r>
      <w:r w:rsidR="00F27F1A" w:rsidRPr="00EC51C2">
        <w:rPr>
          <w:rFonts w:ascii="Verdana" w:hAnsi="Verdana"/>
          <w:sz w:val="18"/>
          <w:szCs w:val="18"/>
        </w:rPr>
        <w:t>t</w:t>
      </w:r>
      <w:r w:rsidRPr="00EC51C2">
        <w:rPr>
          <w:rFonts w:ascii="Verdana" w:hAnsi="Verdana"/>
          <w:sz w:val="18"/>
          <w:szCs w:val="18"/>
        </w:rPr>
        <w:t xml:space="preserve">. </w:t>
      </w:r>
      <w:r w:rsidR="00DE65D0" w:rsidRPr="00EC51C2">
        <w:rPr>
          <w:rFonts w:ascii="Verdana" w:hAnsi="Verdana"/>
          <w:sz w:val="18"/>
          <w:szCs w:val="18"/>
        </w:rPr>
        <w:t>De extra middelen zijn</w:t>
      </w:r>
      <w:r w:rsidRPr="00EC51C2">
        <w:rPr>
          <w:rFonts w:ascii="Verdana" w:hAnsi="Verdana"/>
          <w:sz w:val="18"/>
          <w:szCs w:val="18"/>
        </w:rPr>
        <w:t xml:space="preserve"> beschikbaar voor zorgaanbieders die zorg verlenen aan </w:t>
      </w:r>
      <w:r w:rsidR="00C81E2F">
        <w:rPr>
          <w:rFonts w:ascii="Verdana" w:hAnsi="Verdana"/>
          <w:sz w:val="18"/>
          <w:szCs w:val="18"/>
        </w:rPr>
        <w:t>klanten</w:t>
      </w:r>
      <w:r w:rsidR="00C81E2F" w:rsidRPr="00EC51C2">
        <w:rPr>
          <w:rFonts w:ascii="Verdana" w:hAnsi="Verdana"/>
          <w:sz w:val="18"/>
          <w:szCs w:val="18"/>
        </w:rPr>
        <w:t xml:space="preserve"> </w:t>
      </w:r>
      <w:r w:rsidRPr="00EC51C2">
        <w:rPr>
          <w:rFonts w:ascii="Verdana" w:hAnsi="Verdana"/>
          <w:sz w:val="18"/>
          <w:szCs w:val="18"/>
        </w:rPr>
        <w:t xml:space="preserve">met een indicatie 4 tot en met 10 </w:t>
      </w:r>
      <w:r w:rsidR="00140D66" w:rsidRPr="00EC51C2">
        <w:rPr>
          <w:rFonts w:ascii="Verdana" w:hAnsi="Verdana"/>
          <w:sz w:val="18"/>
          <w:szCs w:val="18"/>
        </w:rPr>
        <w:t>vv</w:t>
      </w:r>
      <w:r w:rsidRPr="00EC51C2">
        <w:rPr>
          <w:rFonts w:ascii="Verdana" w:hAnsi="Verdana"/>
          <w:sz w:val="18"/>
          <w:szCs w:val="18"/>
        </w:rPr>
        <w:t xml:space="preserve"> in de leveringsvorm geclusterd </w:t>
      </w:r>
      <w:proofErr w:type="spellStart"/>
      <w:r w:rsidR="00140D66" w:rsidRPr="00EC51C2">
        <w:rPr>
          <w:rFonts w:ascii="Verdana" w:hAnsi="Verdana"/>
          <w:sz w:val="18"/>
          <w:szCs w:val="18"/>
        </w:rPr>
        <w:t>vpt</w:t>
      </w:r>
      <w:proofErr w:type="spellEnd"/>
      <w:r w:rsidR="00140D66" w:rsidRPr="00EC51C2">
        <w:rPr>
          <w:rFonts w:ascii="Verdana" w:hAnsi="Verdana"/>
          <w:sz w:val="18"/>
          <w:szCs w:val="18"/>
        </w:rPr>
        <w:t xml:space="preserve"> </w:t>
      </w:r>
      <w:r w:rsidRPr="00EC51C2">
        <w:rPr>
          <w:rFonts w:ascii="Verdana" w:hAnsi="Verdana"/>
          <w:sz w:val="18"/>
          <w:szCs w:val="18"/>
        </w:rPr>
        <w:t>of intramura</w:t>
      </w:r>
      <w:r w:rsidR="00F27F1A" w:rsidRPr="00EC51C2">
        <w:rPr>
          <w:rFonts w:ascii="Verdana" w:hAnsi="Verdana"/>
          <w:sz w:val="18"/>
          <w:szCs w:val="18"/>
        </w:rPr>
        <w:t>al verblijf</w:t>
      </w:r>
      <w:r w:rsidR="00252580" w:rsidRPr="00EC51C2">
        <w:rPr>
          <w:rFonts w:ascii="Verdana" w:hAnsi="Verdana"/>
          <w:sz w:val="18"/>
          <w:szCs w:val="18"/>
        </w:rPr>
        <w:t xml:space="preserve"> in een instelling</w:t>
      </w:r>
      <w:r w:rsidRPr="00EC51C2">
        <w:rPr>
          <w:rFonts w:ascii="Verdana" w:hAnsi="Verdana"/>
          <w:sz w:val="18"/>
          <w:szCs w:val="18"/>
        </w:rPr>
        <w:t xml:space="preserve">. </w:t>
      </w:r>
      <w:r w:rsidR="00DE65D0" w:rsidRPr="00EC51C2">
        <w:rPr>
          <w:rFonts w:ascii="Verdana" w:hAnsi="Verdana"/>
          <w:sz w:val="18"/>
          <w:szCs w:val="18"/>
        </w:rPr>
        <w:t>Een deel van de beschikbare middelen is beschikbaar gekomen via de reguliere tarieven (€</w:t>
      </w:r>
      <w:r w:rsidR="00E337BD" w:rsidRPr="00EC51C2">
        <w:rPr>
          <w:rFonts w:ascii="Verdana" w:hAnsi="Verdana"/>
          <w:sz w:val="18"/>
          <w:szCs w:val="18"/>
        </w:rPr>
        <w:t xml:space="preserve"> </w:t>
      </w:r>
      <w:r w:rsidR="00DE65D0" w:rsidRPr="00EC51C2">
        <w:rPr>
          <w:rFonts w:ascii="Verdana" w:hAnsi="Verdana"/>
          <w:sz w:val="18"/>
          <w:szCs w:val="18"/>
        </w:rPr>
        <w:t>435</w:t>
      </w:r>
      <w:r w:rsidR="00E337BD" w:rsidRPr="00EC51C2">
        <w:rPr>
          <w:rFonts w:ascii="Verdana" w:hAnsi="Verdana"/>
          <w:sz w:val="18"/>
          <w:szCs w:val="18"/>
        </w:rPr>
        <w:t xml:space="preserve"> miljoen</w:t>
      </w:r>
      <w:r w:rsidR="00DE65D0" w:rsidRPr="00EC51C2">
        <w:rPr>
          <w:rFonts w:ascii="Verdana" w:hAnsi="Verdana"/>
          <w:sz w:val="18"/>
          <w:szCs w:val="18"/>
        </w:rPr>
        <w:t xml:space="preserve">). </w:t>
      </w:r>
      <w:r w:rsidR="002A1E91" w:rsidRPr="002A1E91">
        <w:rPr>
          <w:rFonts w:ascii="Verdana" w:hAnsi="Verdana"/>
          <w:sz w:val="18"/>
          <w:szCs w:val="18"/>
        </w:rPr>
        <w:t xml:space="preserve">Voor 2021 wordt het kwaliteitsbudget met € 350 miljoen </w:t>
      </w:r>
      <w:r w:rsidR="002A1E91" w:rsidRPr="00DD7969">
        <w:rPr>
          <w:rFonts w:ascii="Verdana" w:hAnsi="Verdana"/>
          <w:sz w:val="18"/>
          <w:szCs w:val="18"/>
        </w:rPr>
        <w:t>verhoogd tot € 1.450 miljoen. De € 125 miljoen die toegevoegd is aan het kwaliteitsbudget 2020 om zorgaanbieders te compenseren als gevolg van de herijking van de tarieven, blijft hiervoor gereserveerd. Dit betekent dat van het kwaliteitsbudget € 1325 miljoen (€ 975 miljoen+ € 350 miljoen) beschikbaar is voor extra personeel en andere investeringen in het kwaliteitskader</w:t>
      </w:r>
      <w:r w:rsidR="00DD7969" w:rsidRPr="00DD7969">
        <w:rPr>
          <w:rFonts w:ascii="Verdana" w:hAnsi="Verdana"/>
          <w:sz w:val="18"/>
          <w:szCs w:val="18"/>
        </w:rPr>
        <w:t>.</w:t>
      </w:r>
    </w:p>
    <w:p w14:paraId="51A84292" w14:textId="6689355D" w:rsidR="00367785" w:rsidRPr="00DD7969" w:rsidRDefault="00367785" w:rsidP="00DD7969">
      <w:pPr>
        <w:autoSpaceDE w:val="0"/>
        <w:autoSpaceDN w:val="0"/>
        <w:adjustRightInd w:val="0"/>
        <w:spacing w:line="23" w:lineRule="atLeast"/>
        <w:rPr>
          <w:rFonts w:ascii="Verdana" w:hAnsi="Verdana"/>
          <w:sz w:val="18"/>
          <w:szCs w:val="18"/>
        </w:rPr>
      </w:pPr>
      <w:r w:rsidRPr="00DD7969">
        <w:rPr>
          <w:rFonts w:ascii="Verdana" w:hAnsi="Verdana"/>
          <w:sz w:val="18"/>
          <w:szCs w:val="18"/>
        </w:rPr>
        <w:t xml:space="preserve">Voor 2021 kan de zorgaanbieder een aanvraag kwaliteitsbudget indienen voor zover deze in lijn is met het eindperspectief. De precieze landing van het kwaliteitsbudget in de integrale tarieven voor 2022 dient nog te worden besloten. Het indicatieve eindperspectief voor het integrale tarief vanaf 2022 bestaat uit de optelling van de huidige </w:t>
      </w:r>
      <w:r w:rsidR="00370889">
        <w:rPr>
          <w:rFonts w:ascii="Verdana" w:hAnsi="Verdana"/>
          <w:sz w:val="18"/>
          <w:szCs w:val="18"/>
        </w:rPr>
        <w:t>NZa</w:t>
      </w:r>
      <w:r w:rsidR="00243459">
        <w:rPr>
          <w:rFonts w:ascii="Verdana" w:hAnsi="Verdana"/>
          <w:sz w:val="18"/>
          <w:szCs w:val="18"/>
        </w:rPr>
        <w:t>-</w:t>
      </w:r>
      <w:r w:rsidRPr="00DD7969">
        <w:rPr>
          <w:rFonts w:ascii="Verdana" w:hAnsi="Verdana"/>
          <w:sz w:val="18"/>
          <w:szCs w:val="18"/>
        </w:rPr>
        <w:t>tarieven en de vorig jaar gepubliceerde indicatieve kwaliteitstoeslagen per prestatie. De NZa heeft de indicatieve kwaliteitstoeslagen voor 2021 opgenomen in bijlage 4 (tabel 29) van de Beleidsregel prestatiebeschrijvingen en tarieven zorgzwaartepakketten en volledig pakket thuis 202</w:t>
      </w:r>
      <w:r w:rsidR="00FD784D">
        <w:rPr>
          <w:rFonts w:ascii="Verdana" w:hAnsi="Verdana"/>
          <w:sz w:val="18"/>
          <w:szCs w:val="18"/>
        </w:rPr>
        <w:t>1</w:t>
      </w:r>
      <w:r w:rsidRPr="00DD7969">
        <w:rPr>
          <w:rFonts w:ascii="Verdana" w:hAnsi="Verdana"/>
          <w:sz w:val="18"/>
          <w:szCs w:val="18"/>
        </w:rPr>
        <w:t xml:space="preserve">. De NZa zal deze bedragen uiteraard nog indexeren naar prijspeil 2022. </w:t>
      </w:r>
    </w:p>
    <w:p w14:paraId="691CA321" w14:textId="5B91D83A" w:rsidR="008056C0" w:rsidRPr="00EC51C2" w:rsidRDefault="008056C0" w:rsidP="008056C0">
      <w:pPr>
        <w:autoSpaceDE w:val="0"/>
        <w:autoSpaceDN w:val="0"/>
        <w:adjustRightInd w:val="0"/>
        <w:spacing w:line="23" w:lineRule="atLeast"/>
        <w:rPr>
          <w:rFonts w:ascii="Verdana" w:hAnsi="Verdana"/>
          <w:sz w:val="18"/>
          <w:szCs w:val="18"/>
        </w:rPr>
      </w:pPr>
      <w:r w:rsidRPr="00DD7969">
        <w:rPr>
          <w:rFonts w:ascii="Verdana" w:hAnsi="Verdana"/>
          <w:sz w:val="18"/>
          <w:szCs w:val="18"/>
        </w:rPr>
        <w:t>Voor zorgorganisaties geldt de zogenoemde richtlijn 85% -15% voor inzet van het kwaliteitsbudget. Dit betekent dat 85% van het kwaliteitsbudget bestemd is voor de inzet van extra zorgpersoneel. 15% van deze middelen kan breder ingezet worden, gericht op verbetering van de kwaliteit in lijn met het Kwaliteitskader Verpleeghuiszorg</w:t>
      </w:r>
      <w:r w:rsidR="002B2D66" w:rsidRPr="00DD7969">
        <w:rPr>
          <w:rFonts w:ascii="Verdana" w:hAnsi="Verdana"/>
          <w:sz w:val="18"/>
          <w:szCs w:val="18"/>
        </w:rPr>
        <w:t xml:space="preserve">. </w:t>
      </w:r>
      <w:r w:rsidR="00367785" w:rsidRPr="00DD7969">
        <w:rPr>
          <w:rFonts w:ascii="Verdana" w:hAnsi="Verdana"/>
          <w:sz w:val="18"/>
          <w:szCs w:val="18"/>
        </w:rPr>
        <w:t xml:space="preserve">In 2020 </w:t>
      </w:r>
      <w:r w:rsidR="002B2D66" w:rsidRPr="00DD7969">
        <w:rPr>
          <w:rFonts w:ascii="Verdana" w:hAnsi="Verdana"/>
          <w:sz w:val="18"/>
          <w:szCs w:val="18"/>
        </w:rPr>
        <w:t xml:space="preserve">is </w:t>
      </w:r>
      <w:r w:rsidR="00D017BD" w:rsidRPr="00DD7969">
        <w:rPr>
          <w:rFonts w:ascii="Verdana" w:hAnsi="Verdana"/>
          <w:sz w:val="18"/>
          <w:szCs w:val="18"/>
        </w:rPr>
        <w:t>besloten dat</w:t>
      </w:r>
      <w:r w:rsidR="00367785" w:rsidRPr="00DD7969">
        <w:rPr>
          <w:rFonts w:ascii="Verdana" w:hAnsi="Verdana"/>
          <w:sz w:val="18"/>
          <w:szCs w:val="18"/>
        </w:rPr>
        <w:t xml:space="preserve"> zorgaanbieders</w:t>
      </w:r>
      <w:r w:rsidR="00C81E2F" w:rsidRPr="00DD7969">
        <w:rPr>
          <w:rFonts w:ascii="Verdana" w:hAnsi="Verdana"/>
          <w:sz w:val="18"/>
          <w:szCs w:val="18"/>
        </w:rPr>
        <w:t xml:space="preserve"> </w:t>
      </w:r>
      <w:r w:rsidR="00367785" w:rsidRPr="00DD7969">
        <w:rPr>
          <w:rFonts w:ascii="Verdana" w:hAnsi="Verdana"/>
          <w:sz w:val="18"/>
          <w:szCs w:val="18"/>
        </w:rPr>
        <w:t xml:space="preserve">een </w:t>
      </w:r>
      <w:r w:rsidR="00D017BD" w:rsidRPr="00DD7969">
        <w:rPr>
          <w:rFonts w:ascii="Verdana" w:hAnsi="Verdana"/>
          <w:sz w:val="18"/>
          <w:szCs w:val="18"/>
        </w:rPr>
        <w:t>aanvraag kunnen</w:t>
      </w:r>
      <w:r w:rsidR="00367785" w:rsidRPr="00DD7969">
        <w:rPr>
          <w:rFonts w:ascii="Verdana" w:hAnsi="Verdana"/>
          <w:sz w:val="18"/>
          <w:szCs w:val="18"/>
        </w:rPr>
        <w:t xml:space="preserve"> doen voor een andere verdeling van de inzet van het kwaliteitsbudget. De 85%-15% verdeling van de inzet van het kwaliteitsbudget blijft </w:t>
      </w:r>
      <w:r w:rsidR="00D017BD" w:rsidRPr="00DD7969">
        <w:rPr>
          <w:rFonts w:ascii="Verdana" w:hAnsi="Verdana"/>
          <w:sz w:val="18"/>
          <w:szCs w:val="18"/>
        </w:rPr>
        <w:t>de</w:t>
      </w:r>
      <w:r w:rsidR="00367785" w:rsidRPr="00DD7969">
        <w:rPr>
          <w:rFonts w:ascii="Verdana" w:hAnsi="Verdana"/>
          <w:sz w:val="18"/>
          <w:szCs w:val="18"/>
        </w:rPr>
        <w:t xml:space="preserve"> richtlijn</w:t>
      </w:r>
      <w:r w:rsidR="002B2D66" w:rsidRPr="00DD7969">
        <w:rPr>
          <w:rFonts w:ascii="Verdana" w:hAnsi="Verdana"/>
          <w:sz w:val="18"/>
          <w:szCs w:val="18"/>
        </w:rPr>
        <w:t xml:space="preserve">, maar op macroniveau </w:t>
      </w:r>
      <w:r w:rsidR="00367785" w:rsidRPr="00DD7969">
        <w:rPr>
          <w:rFonts w:ascii="Verdana" w:hAnsi="Verdana"/>
          <w:sz w:val="18"/>
          <w:szCs w:val="18"/>
        </w:rPr>
        <w:t xml:space="preserve">is </w:t>
      </w:r>
      <w:r w:rsidR="002B2D66" w:rsidRPr="00DD7969">
        <w:rPr>
          <w:rFonts w:ascii="Verdana" w:hAnsi="Verdana"/>
          <w:sz w:val="18"/>
          <w:szCs w:val="18"/>
        </w:rPr>
        <w:t xml:space="preserve">een andere uitkomst </w:t>
      </w:r>
      <w:r w:rsidR="00D017BD" w:rsidRPr="00DD7969">
        <w:rPr>
          <w:rFonts w:ascii="Verdana" w:hAnsi="Verdana"/>
          <w:sz w:val="18"/>
          <w:szCs w:val="18"/>
        </w:rPr>
        <w:t>aanvaardbaar.</w:t>
      </w:r>
      <w:r w:rsidR="002B2D66" w:rsidRPr="00DD7969">
        <w:rPr>
          <w:rFonts w:ascii="Verdana" w:hAnsi="Verdana"/>
          <w:sz w:val="18"/>
          <w:szCs w:val="18"/>
        </w:rPr>
        <w:t xml:space="preserve"> Wel met de nadrukkelijke opdracht om in</w:t>
      </w:r>
      <w:r w:rsidR="002B2D66" w:rsidRPr="002B2D66">
        <w:rPr>
          <w:rFonts w:ascii="Verdana" w:hAnsi="Verdana"/>
          <w:sz w:val="18"/>
          <w:szCs w:val="18"/>
        </w:rPr>
        <w:t xml:space="preserve"> lijn met de bedoeling van het “Programmaplan Thuis in het Verpleeghuis” te blijven handelen. Om voor 2021 in aanmerking te komen voor een andere verhouding dient de zorgaanbieder een overtuigende, onderbouwde en concreet uitgewerkte aanvraag op te nemen in zijn kwaliteitsplan. Waarbij het uitgangspunt blijft dat extra zorgpersoneel, dat aangenomen is vanuit het kwaliteitsbudget in 2019 en 2020 vergoed wordt vanuit het kwaliteitsbudget 2021.</w:t>
      </w:r>
      <w:r w:rsidR="0071026C">
        <w:rPr>
          <w:rFonts w:ascii="Verdana" w:hAnsi="Verdana"/>
          <w:sz w:val="18"/>
          <w:szCs w:val="18"/>
        </w:rPr>
        <w:t xml:space="preserve"> </w:t>
      </w:r>
      <w:r w:rsidRPr="00EC51C2">
        <w:rPr>
          <w:rFonts w:ascii="Verdana" w:hAnsi="Verdana"/>
          <w:sz w:val="18"/>
          <w:szCs w:val="18"/>
        </w:rPr>
        <w:t xml:space="preserve">Zorgaanbieders moeten </w:t>
      </w:r>
      <w:r w:rsidR="00367785">
        <w:rPr>
          <w:rFonts w:ascii="Verdana" w:hAnsi="Verdana"/>
          <w:sz w:val="18"/>
          <w:szCs w:val="18"/>
        </w:rPr>
        <w:t>ook met een andere verhouding</w:t>
      </w:r>
      <w:r w:rsidRPr="00EC51C2">
        <w:rPr>
          <w:rFonts w:ascii="Verdana" w:hAnsi="Verdana"/>
          <w:sz w:val="18"/>
          <w:szCs w:val="18"/>
        </w:rPr>
        <w:t xml:space="preserve"> blijven passen in het eindperspectief van het integraal </w:t>
      </w:r>
      <w:r w:rsidR="004671A8" w:rsidRPr="00EC51C2">
        <w:rPr>
          <w:rFonts w:ascii="Verdana" w:hAnsi="Verdana"/>
          <w:sz w:val="18"/>
          <w:szCs w:val="18"/>
        </w:rPr>
        <w:t>maximumtarief</w:t>
      </w:r>
      <w:r w:rsidRPr="00EC51C2">
        <w:rPr>
          <w:rFonts w:ascii="Verdana" w:hAnsi="Verdana"/>
          <w:sz w:val="18"/>
          <w:szCs w:val="18"/>
        </w:rPr>
        <w:t xml:space="preserve"> per 2022. </w:t>
      </w:r>
    </w:p>
    <w:p w14:paraId="0AAB0B99" w14:textId="1F800452" w:rsidR="006643F1" w:rsidRPr="00EC51C2" w:rsidRDefault="00301D5C" w:rsidP="00AD0D32">
      <w:pPr>
        <w:autoSpaceDE w:val="0"/>
        <w:autoSpaceDN w:val="0"/>
        <w:adjustRightInd w:val="0"/>
        <w:spacing w:line="23" w:lineRule="atLeast"/>
        <w:rPr>
          <w:rFonts w:ascii="Verdana" w:hAnsi="Verdana"/>
          <w:sz w:val="18"/>
          <w:szCs w:val="18"/>
        </w:rPr>
      </w:pPr>
      <w:r w:rsidRPr="00EC51C2">
        <w:rPr>
          <w:rFonts w:ascii="Verdana" w:hAnsi="Verdana"/>
          <w:sz w:val="18"/>
          <w:szCs w:val="18"/>
        </w:rPr>
        <w:t xml:space="preserve">Op basis van </w:t>
      </w:r>
      <w:r w:rsidR="00D94F24" w:rsidRPr="00EC51C2">
        <w:rPr>
          <w:rFonts w:ascii="Verdana" w:hAnsi="Verdana"/>
          <w:sz w:val="18"/>
          <w:szCs w:val="18"/>
        </w:rPr>
        <w:t>afspraken met VWS en de NZa over</w:t>
      </w:r>
      <w:r w:rsidRPr="00EC51C2">
        <w:rPr>
          <w:rFonts w:ascii="Verdana" w:hAnsi="Verdana"/>
          <w:sz w:val="18"/>
          <w:szCs w:val="18"/>
        </w:rPr>
        <w:t xml:space="preserve"> Wlz 20</w:t>
      </w:r>
      <w:r w:rsidR="00104406" w:rsidRPr="00EC51C2">
        <w:rPr>
          <w:rFonts w:ascii="Verdana" w:hAnsi="Verdana"/>
          <w:sz w:val="18"/>
          <w:szCs w:val="18"/>
        </w:rPr>
        <w:t>2</w:t>
      </w:r>
      <w:r w:rsidR="00143B27">
        <w:rPr>
          <w:rFonts w:ascii="Verdana" w:hAnsi="Verdana"/>
          <w:sz w:val="18"/>
          <w:szCs w:val="18"/>
        </w:rPr>
        <w:t>1</w:t>
      </w:r>
      <w:r w:rsidRPr="00EC51C2">
        <w:rPr>
          <w:rFonts w:ascii="Verdana" w:hAnsi="Verdana"/>
          <w:sz w:val="18"/>
          <w:szCs w:val="18"/>
        </w:rPr>
        <w:t xml:space="preserve"> worden voor de berekening van de vergoeding vanuit het kwaliteitsbudget (85%) de totale kosten voor zorgpersoneel 20</w:t>
      </w:r>
      <w:r w:rsidR="00104406" w:rsidRPr="00EC51C2">
        <w:rPr>
          <w:rFonts w:ascii="Verdana" w:hAnsi="Verdana"/>
          <w:sz w:val="18"/>
          <w:szCs w:val="18"/>
        </w:rPr>
        <w:t>2</w:t>
      </w:r>
      <w:r w:rsidR="00143B27">
        <w:rPr>
          <w:rFonts w:ascii="Verdana" w:hAnsi="Verdana"/>
          <w:sz w:val="18"/>
          <w:szCs w:val="18"/>
        </w:rPr>
        <w:t>1</w:t>
      </w:r>
      <w:r w:rsidRPr="00EC51C2">
        <w:rPr>
          <w:rFonts w:ascii="Verdana" w:hAnsi="Verdana"/>
          <w:sz w:val="18"/>
          <w:szCs w:val="18"/>
        </w:rPr>
        <w:t xml:space="preserve"> vergeleken met de totale kosten voor zorgpersoneel 2018. De toename kan worden gefinancierd vanuit het kwaliteitsbudget. Uitgangspunt blijft dat de extra middelen voor het kwaliteitskader bedoeld zijn om de FTE/cliëntratio te verhogen.</w:t>
      </w:r>
    </w:p>
    <w:p w14:paraId="04499C8E" w14:textId="39C9F174" w:rsidR="00336FA2" w:rsidRPr="00EC51C2" w:rsidRDefault="0054376D" w:rsidP="00336FA2">
      <w:pPr>
        <w:spacing w:line="23" w:lineRule="atLeast"/>
        <w:rPr>
          <w:rFonts w:ascii="Verdana" w:hAnsi="Verdana"/>
          <w:sz w:val="18"/>
          <w:szCs w:val="18"/>
        </w:rPr>
      </w:pPr>
      <w:r w:rsidRPr="00EC51C2">
        <w:rPr>
          <w:rFonts w:ascii="Verdana" w:hAnsi="Verdana"/>
          <w:sz w:val="18"/>
          <w:szCs w:val="18"/>
        </w:rPr>
        <w:t xml:space="preserve">In samenspraak met </w:t>
      </w:r>
      <w:proofErr w:type="spellStart"/>
      <w:r w:rsidRPr="00EC51C2">
        <w:rPr>
          <w:rFonts w:ascii="Verdana" w:hAnsi="Verdana"/>
          <w:sz w:val="18"/>
          <w:szCs w:val="18"/>
        </w:rPr>
        <w:t>ActiZ</w:t>
      </w:r>
      <w:proofErr w:type="spellEnd"/>
      <w:r w:rsidRPr="00EC51C2">
        <w:rPr>
          <w:rFonts w:ascii="Verdana" w:hAnsi="Verdana"/>
          <w:sz w:val="18"/>
          <w:szCs w:val="18"/>
        </w:rPr>
        <w:t xml:space="preserve"> is een model ontwikkeld voor de begroting en verantwoording van het kwaliteitsbudget verpleeghuiszorg. Deze notitie beschrijft in deel I het begrotingsmodel en in deel II het verantwoordingsmodel. </w:t>
      </w:r>
      <w:r w:rsidR="006643F1" w:rsidRPr="00EC51C2">
        <w:rPr>
          <w:rFonts w:ascii="Verdana" w:hAnsi="Verdana"/>
          <w:sz w:val="18"/>
          <w:szCs w:val="18"/>
        </w:rPr>
        <w:t xml:space="preserve">Deze </w:t>
      </w:r>
      <w:r w:rsidRPr="00EC51C2">
        <w:rPr>
          <w:rFonts w:ascii="Verdana" w:hAnsi="Verdana"/>
          <w:sz w:val="18"/>
          <w:szCs w:val="18"/>
        </w:rPr>
        <w:t>mode</w:t>
      </w:r>
      <w:r w:rsidR="006643F1" w:rsidRPr="00EC51C2">
        <w:rPr>
          <w:rFonts w:ascii="Verdana" w:hAnsi="Verdana"/>
          <w:sz w:val="18"/>
          <w:szCs w:val="18"/>
        </w:rPr>
        <w:t>l</w:t>
      </w:r>
      <w:r w:rsidRPr="00EC51C2">
        <w:rPr>
          <w:rFonts w:ascii="Verdana" w:hAnsi="Verdana"/>
          <w:sz w:val="18"/>
          <w:szCs w:val="18"/>
        </w:rPr>
        <w:t>l</w:t>
      </w:r>
      <w:r w:rsidR="006643F1" w:rsidRPr="00EC51C2">
        <w:rPr>
          <w:rFonts w:ascii="Verdana" w:hAnsi="Verdana"/>
          <w:sz w:val="18"/>
          <w:szCs w:val="18"/>
        </w:rPr>
        <w:t>en</w:t>
      </w:r>
      <w:r w:rsidRPr="00EC51C2">
        <w:rPr>
          <w:rFonts w:ascii="Verdana" w:hAnsi="Verdana"/>
          <w:sz w:val="18"/>
          <w:szCs w:val="18"/>
        </w:rPr>
        <w:t xml:space="preserve"> en </w:t>
      </w:r>
      <w:r w:rsidR="006643F1" w:rsidRPr="00EC51C2">
        <w:rPr>
          <w:rFonts w:ascii="Verdana" w:hAnsi="Verdana"/>
          <w:sz w:val="18"/>
          <w:szCs w:val="18"/>
        </w:rPr>
        <w:t>toelichtingen</w:t>
      </w:r>
      <w:r w:rsidRPr="00EC51C2">
        <w:rPr>
          <w:rFonts w:ascii="Verdana" w:hAnsi="Verdana"/>
          <w:sz w:val="18"/>
          <w:szCs w:val="18"/>
        </w:rPr>
        <w:t xml:space="preserve"> sluit</w:t>
      </w:r>
      <w:r w:rsidR="006643F1" w:rsidRPr="00EC51C2">
        <w:rPr>
          <w:rFonts w:ascii="Verdana" w:hAnsi="Verdana"/>
          <w:sz w:val="18"/>
          <w:szCs w:val="18"/>
        </w:rPr>
        <w:t>en</w:t>
      </w:r>
      <w:r w:rsidRPr="00EC51C2">
        <w:rPr>
          <w:rFonts w:ascii="Verdana" w:hAnsi="Verdana"/>
          <w:sz w:val="18"/>
          <w:szCs w:val="18"/>
        </w:rPr>
        <w:t xml:space="preserve"> aan op </w:t>
      </w:r>
      <w:r w:rsidR="00AB3B35">
        <w:rPr>
          <w:rFonts w:ascii="Verdana" w:hAnsi="Verdana"/>
          <w:sz w:val="18"/>
          <w:szCs w:val="18"/>
        </w:rPr>
        <w:t xml:space="preserve">het </w:t>
      </w:r>
      <w:r w:rsidR="00AB3B35" w:rsidRPr="00AB3B35">
        <w:rPr>
          <w:rFonts w:ascii="Verdana" w:hAnsi="Verdana"/>
          <w:sz w:val="18"/>
          <w:szCs w:val="18"/>
        </w:rPr>
        <w:t>Inkoopkader langdurige zorg 2021-</w:t>
      </w:r>
      <w:r w:rsidR="00D017BD" w:rsidRPr="00AB3B35">
        <w:rPr>
          <w:rFonts w:ascii="Verdana" w:hAnsi="Verdana"/>
          <w:sz w:val="18"/>
          <w:szCs w:val="18"/>
        </w:rPr>
        <w:t xml:space="preserve">2023 </w:t>
      </w:r>
      <w:r w:rsidR="00D017BD">
        <w:rPr>
          <w:rFonts w:ascii="Verdana" w:hAnsi="Verdana"/>
          <w:sz w:val="18"/>
          <w:szCs w:val="18"/>
        </w:rPr>
        <w:t>en</w:t>
      </w:r>
      <w:r w:rsidR="00AB3B35">
        <w:rPr>
          <w:rFonts w:ascii="Verdana" w:hAnsi="Verdana"/>
          <w:sz w:val="18"/>
          <w:szCs w:val="18"/>
        </w:rPr>
        <w:t xml:space="preserve"> de </w:t>
      </w:r>
      <w:r w:rsidR="00AB3B35" w:rsidRPr="00AB3B35">
        <w:rPr>
          <w:rFonts w:ascii="Verdana" w:hAnsi="Verdana"/>
          <w:sz w:val="18"/>
          <w:szCs w:val="18"/>
        </w:rPr>
        <w:t>Nota van Inlichtingen inkoopkader Wlz 2021-2023.</w:t>
      </w:r>
      <w:r w:rsidR="00336FA2">
        <w:rPr>
          <w:rFonts w:ascii="Verdana" w:hAnsi="Verdana"/>
          <w:sz w:val="18"/>
          <w:szCs w:val="18"/>
        </w:rPr>
        <w:t xml:space="preserve"> </w:t>
      </w:r>
      <w:r w:rsidRPr="00EC51C2">
        <w:rPr>
          <w:rFonts w:ascii="Verdana" w:hAnsi="Verdana"/>
          <w:sz w:val="18"/>
          <w:szCs w:val="18"/>
        </w:rPr>
        <w:t xml:space="preserve"> </w:t>
      </w:r>
      <w:r w:rsidR="00336FA2" w:rsidRPr="00EC51C2">
        <w:rPr>
          <w:rFonts w:ascii="Verdana" w:hAnsi="Verdana"/>
          <w:sz w:val="18"/>
          <w:szCs w:val="18"/>
        </w:rPr>
        <w:t xml:space="preserve">Wanneer onderstaand naar </w:t>
      </w:r>
      <w:r w:rsidR="00336FA2">
        <w:rPr>
          <w:rFonts w:ascii="Verdana" w:hAnsi="Verdana"/>
          <w:sz w:val="18"/>
          <w:szCs w:val="18"/>
        </w:rPr>
        <w:t>het ‘</w:t>
      </w:r>
      <w:r w:rsidR="00336FA2" w:rsidRPr="00AB3B35">
        <w:rPr>
          <w:rFonts w:ascii="Verdana" w:hAnsi="Verdana"/>
          <w:sz w:val="18"/>
          <w:szCs w:val="18"/>
        </w:rPr>
        <w:t>Inkoopkader langdurige zorg 2021-2023</w:t>
      </w:r>
      <w:r w:rsidR="00D017BD">
        <w:rPr>
          <w:rFonts w:ascii="Verdana" w:hAnsi="Verdana"/>
          <w:sz w:val="18"/>
          <w:szCs w:val="18"/>
        </w:rPr>
        <w:t>’</w:t>
      </w:r>
      <w:r w:rsidR="00D017BD" w:rsidRPr="00AB3B35">
        <w:rPr>
          <w:rFonts w:ascii="Verdana" w:hAnsi="Verdana"/>
          <w:sz w:val="18"/>
          <w:szCs w:val="18"/>
        </w:rPr>
        <w:t xml:space="preserve"> </w:t>
      </w:r>
      <w:r w:rsidR="00D017BD" w:rsidRPr="00EC51C2">
        <w:rPr>
          <w:rFonts w:ascii="Verdana" w:hAnsi="Verdana"/>
          <w:sz w:val="18"/>
          <w:szCs w:val="18"/>
        </w:rPr>
        <w:t>wordt</w:t>
      </w:r>
      <w:r w:rsidR="00336FA2" w:rsidRPr="00EC51C2">
        <w:rPr>
          <w:rFonts w:ascii="Verdana" w:hAnsi="Verdana"/>
          <w:sz w:val="18"/>
          <w:szCs w:val="18"/>
        </w:rPr>
        <w:t xml:space="preserve"> verwezen, wordt daarmee tevens de wijzigingen in de tekst bedoeld naar aanleiding van de ‘Nota van Inlichtingen’. </w:t>
      </w:r>
    </w:p>
    <w:p w14:paraId="5EE8A18E" w14:textId="0A6DF239" w:rsidR="0054376D" w:rsidRPr="00EC51C2" w:rsidRDefault="0049633A" w:rsidP="00AD0D32">
      <w:pPr>
        <w:spacing w:line="23" w:lineRule="atLeast"/>
        <w:rPr>
          <w:rFonts w:ascii="Verdana" w:hAnsi="Verdana"/>
          <w:sz w:val="18"/>
          <w:szCs w:val="18"/>
        </w:rPr>
      </w:pPr>
      <w:r w:rsidRPr="00EC51C2">
        <w:rPr>
          <w:rFonts w:ascii="Verdana" w:hAnsi="Verdana"/>
          <w:sz w:val="18"/>
          <w:szCs w:val="18"/>
        </w:rPr>
        <w:t xml:space="preserve">Bij eventuele strijdigheid tussen de tekst in dit document en de tekst in </w:t>
      </w:r>
      <w:r w:rsidR="001A1833">
        <w:rPr>
          <w:rFonts w:ascii="Verdana" w:hAnsi="Verdana"/>
          <w:sz w:val="18"/>
          <w:szCs w:val="18"/>
        </w:rPr>
        <w:t xml:space="preserve">het </w:t>
      </w:r>
      <w:r w:rsidR="001A1833" w:rsidRPr="00EC51C2">
        <w:rPr>
          <w:rFonts w:ascii="Verdana" w:hAnsi="Verdana"/>
          <w:sz w:val="18"/>
          <w:szCs w:val="18"/>
        </w:rPr>
        <w:t>Inkoopkader</w:t>
      </w:r>
      <w:r w:rsidR="00AB3B35" w:rsidRPr="00AB3B35">
        <w:rPr>
          <w:rFonts w:ascii="Verdana" w:hAnsi="Verdana"/>
          <w:sz w:val="18"/>
          <w:szCs w:val="18"/>
        </w:rPr>
        <w:t xml:space="preserve"> langdurige zorg 2021-2023 </w:t>
      </w:r>
      <w:r w:rsidRPr="00EC51C2">
        <w:rPr>
          <w:rFonts w:ascii="Verdana" w:hAnsi="Verdana"/>
          <w:sz w:val="18"/>
          <w:szCs w:val="18"/>
        </w:rPr>
        <w:t xml:space="preserve">prevaleert </w:t>
      </w:r>
      <w:r w:rsidR="00AB3B35" w:rsidRPr="00AB3B35">
        <w:rPr>
          <w:rFonts w:ascii="Verdana" w:hAnsi="Verdana"/>
          <w:sz w:val="18"/>
          <w:szCs w:val="18"/>
        </w:rPr>
        <w:t>het Inkoopkader langdurige zorg 2021-2023</w:t>
      </w:r>
      <w:r w:rsidR="00336FA2">
        <w:rPr>
          <w:rFonts w:ascii="Verdana" w:hAnsi="Verdana"/>
          <w:sz w:val="18"/>
          <w:szCs w:val="18"/>
        </w:rPr>
        <w:t>.</w:t>
      </w:r>
    </w:p>
    <w:p w14:paraId="5B8131CC" w14:textId="2659E9CE" w:rsidR="00662166" w:rsidRPr="00F108F1" w:rsidRDefault="00367785">
      <w:pPr>
        <w:rPr>
          <w:rFonts w:ascii="Verdana" w:hAnsi="Verdana"/>
          <w:bCs/>
          <w:sz w:val="18"/>
          <w:szCs w:val="18"/>
        </w:rPr>
      </w:pPr>
      <w:r w:rsidRPr="00F108F1">
        <w:rPr>
          <w:rFonts w:ascii="Verdana" w:hAnsi="Verdana"/>
          <w:bCs/>
          <w:sz w:val="18"/>
          <w:szCs w:val="18"/>
        </w:rPr>
        <w:t>Bij het opstellen van het begroting</w:t>
      </w:r>
      <w:r w:rsidR="00C81E2F" w:rsidRPr="00F108F1">
        <w:rPr>
          <w:rFonts w:ascii="Verdana" w:hAnsi="Verdana"/>
          <w:bCs/>
          <w:sz w:val="18"/>
          <w:szCs w:val="18"/>
        </w:rPr>
        <w:t>s-</w:t>
      </w:r>
      <w:r w:rsidRPr="00F108F1">
        <w:rPr>
          <w:rFonts w:ascii="Verdana" w:hAnsi="Verdana"/>
          <w:bCs/>
          <w:sz w:val="18"/>
          <w:szCs w:val="18"/>
        </w:rPr>
        <w:t xml:space="preserve"> en verantwoordingsmodel 2021 en deze toelichting is geen rekening gehouden met de gewijzigde omstandigheden 2020 ten gevolge van het Covid-19 virus </w:t>
      </w:r>
      <w:r w:rsidRPr="00F108F1">
        <w:rPr>
          <w:rFonts w:ascii="Verdana" w:hAnsi="Verdana"/>
          <w:bCs/>
          <w:sz w:val="18"/>
          <w:szCs w:val="18"/>
        </w:rPr>
        <w:lastRenderedPageBreak/>
        <w:t xml:space="preserve">en de uitwerking hiervan </w:t>
      </w:r>
      <w:r w:rsidR="00662166" w:rsidRPr="00F108F1">
        <w:rPr>
          <w:rFonts w:ascii="Verdana" w:hAnsi="Verdana"/>
          <w:bCs/>
          <w:sz w:val="18"/>
          <w:szCs w:val="18"/>
        </w:rPr>
        <w:t>zoals omschreven in de</w:t>
      </w:r>
      <w:r w:rsidRPr="00F108F1">
        <w:rPr>
          <w:rFonts w:ascii="Verdana" w:hAnsi="Verdana"/>
          <w:bCs/>
          <w:sz w:val="18"/>
          <w:szCs w:val="18"/>
        </w:rPr>
        <w:t xml:space="preserve"> beleidsregel</w:t>
      </w:r>
      <w:r w:rsidR="00662166" w:rsidRPr="00F108F1">
        <w:rPr>
          <w:rFonts w:ascii="Verdana" w:hAnsi="Verdana"/>
          <w:bCs/>
          <w:sz w:val="18"/>
          <w:szCs w:val="18"/>
        </w:rPr>
        <w:t>s</w:t>
      </w:r>
      <w:r w:rsidRPr="00F108F1">
        <w:rPr>
          <w:rFonts w:ascii="Verdana" w:hAnsi="Verdana"/>
          <w:bCs/>
          <w:sz w:val="18"/>
          <w:szCs w:val="18"/>
        </w:rPr>
        <w:t xml:space="preserve"> SARS Co</w:t>
      </w:r>
      <w:r w:rsidR="00662166" w:rsidRPr="00F108F1">
        <w:rPr>
          <w:rFonts w:ascii="Verdana" w:hAnsi="Verdana"/>
          <w:bCs/>
          <w:sz w:val="18"/>
          <w:szCs w:val="18"/>
        </w:rPr>
        <w:t>V-2 virus</w:t>
      </w:r>
      <w:r w:rsidR="00662166" w:rsidRPr="00F108F1">
        <w:rPr>
          <w:rStyle w:val="Voetnootmarkering"/>
          <w:rFonts w:ascii="Verdana" w:hAnsi="Verdana"/>
          <w:bCs/>
          <w:sz w:val="18"/>
          <w:szCs w:val="18"/>
        </w:rPr>
        <w:footnoteReference w:id="2"/>
      </w:r>
      <w:r w:rsidR="00922691" w:rsidRPr="00F108F1">
        <w:rPr>
          <w:rFonts w:ascii="Verdana" w:hAnsi="Verdana"/>
          <w:bCs/>
          <w:sz w:val="18"/>
          <w:szCs w:val="18"/>
        </w:rPr>
        <w:t>. Mocht Covid-19 in 2021 nog gaande zijn</w:t>
      </w:r>
      <w:r w:rsidR="00C81E2F" w:rsidRPr="00F108F1">
        <w:rPr>
          <w:rFonts w:ascii="Verdana" w:hAnsi="Verdana"/>
          <w:bCs/>
          <w:sz w:val="18"/>
          <w:szCs w:val="18"/>
        </w:rPr>
        <w:t xml:space="preserve"> en er sprake zijn van effecten op het kwaliteitsbudget dan passen we het begrotings- en verantwoordingsmodel hierop aan. </w:t>
      </w:r>
    </w:p>
    <w:p w14:paraId="6C569176" w14:textId="3390F7DA" w:rsidR="000A1F30" w:rsidRPr="00EC51C2" w:rsidRDefault="000A1F30">
      <w:pPr>
        <w:rPr>
          <w:rFonts w:ascii="Verdana" w:hAnsi="Verdana"/>
          <w:b/>
          <w:sz w:val="18"/>
          <w:szCs w:val="18"/>
        </w:rPr>
      </w:pPr>
      <w:r w:rsidRPr="00EC51C2">
        <w:rPr>
          <w:rFonts w:ascii="Verdana" w:hAnsi="Verdana"/>
          <w:b/>
          <w:sz w:val="18"/>
          <w:szCs w:val="18"/>
        </w:rPr>
        <w:br w:type="page"/>
      </w:r>
    </w:p>
    <w:p w14:paraId="501757F3" w14:textId="74AB8090" w:rsidR="00A36DE3" w:rsidRPr="00EC51C2" w:rsidRDefault="00A36DE3" w:rsidP="00113B6D">
      <w:pPr>
        <w:rPr>
          <w:rFonts w:ascii="Verdana" w:hAnsi="Verdana"/>
          <w:b/>
          <w:sz w:val="18"/>
          <w:szCs w:val="18"/>
        </w:rPr>
      </w:pPr>
      <w:r w:rsidRPr="00EC51C2">
        <w:rPr>
          <w:rFonts w:ascii="Verdana" w:hAnsi="Verdana"/>
          <w:b/>
          <w:sz w:val="18"/>
          <w:szCs w:val="18"/>
        </w:rPr>
        <w:lastRenderedPageBreak/>
        <w:t xml:space="preserve">Deel </w:t>
      </w:r>
      <w:r w:rsidR="001A1833" w:rsidRPr="00EC51C2">
        <w:rPr>
          <w:rFonts w:ascii="Verdana" w:hAnsi="Verdana"/>
          <w:b/>
          <w:sz w:val="18"/>
          <w:szCs w:val="18"/>
        </w:rPr>
        <w:t>I:</w:t>
      </w:r>
      <w:r w:rsidRPr="00EC51C2">
        <w:rPr>
          <w:rFonts w:ascii="Verdana" w:hAnsi="Verdana"/>
          <w:b/>
          <w:sz w:val="18"/>
          <w:szCs w:val="18"/>
        </w:rPr>
        <w:t xml:space="preserve"> begrotingsmodel kwaliteitsbudget</w:t>
      </w:r>
    </w:p>
    <w:p w14:paraId="2A95D753" w14:textId="77777777" w:rsidR="00D223D8" w:rsidRPr="00EC51C2" w:rsidRDefault="00D223D8" w:rsidP="00A36DE3">
      <w:pPr>
        <w:pStyle w:val="Lijstalinea"/>
        <w:numPr>
          <w:ilvl w:val="0"/>
          <w:numId w:val="18"/>
        </w:numPr>
        <w:spacing w:after="0"/>
        <w:contextualSpacing w:val="0"/>
        <w:rPr>
          <w:rFonts w:ascii="Verdana" w:hAnsi="Verdana"/>
          <w:sz w:val="18"/>
          <w:szCs w:val="18"/>
        </w:rPr>
      </w:pPr>
      <w:r w:rsidRPr="00EC51C2">
        <w:rPr>
          <w:rFonts w:ascii="Verdana" w:hAnsi="Verdana"/>
          <w:sz w:val="18"/>
          <w:szCs w:val="18"/>
        </w:rPr>
        <w:t xml:space="preserve">In het kwaliteitsplan is opgenomen welke verbeteringen worden gerealiseerd. Om in aanmerking te komen voor het kwaliteitsbudget wordt een meerjarenbegroting opgesteld, waarin is aangegeven voor welke kosten een beroep op het kwaliteitsbudget wordt gedaan. In de meerjarenbegroting is een SMART onderbouwing opgenomen van de voorstellen voor besteding van het kwaliteitsbudget per jaar. Hierbij is per voorstel aangegeven wat de kosten zijn. In het verantwoordingsmodel wordt het totaal van de verschillende voorstellen opgenomen. De informatie in het verantwoordingsmodel sluit hiermee aan op de informatie in de begroting van het kwaliteitsplan. </w:t>
      </w:r>
    </w:p>
    <w:p w14:paraId="51726105" w14:textId="77777777" w:rsidR="00D561B7" w:rsidRPr="00EC51C2" w:rsidRDefault="00B550CF" w:rsidP="00113B6D">
      <w:pPr>
        <w:pStyle w:val="Lijstalinea"/>
        <w:numPr>
          <w:ilvl w:val="0"/>
          <w:numId w:val="18"/>
        </w:numPr>
        <w:rPr>
          <w:rFonts w:ascii="Verdana" w:hAnsi="Verdana"/>
          <w:sz w:val="18"/>
          <w:szCs w:val="18"/>
        </w:rPr>
      </w:pPr>
      <w:r w:rsidRPr="00EC51C2">
        <w:rPr>
          <w:rFonts w:ascii="Verdana" w:hAnsi="Verdana"/>
          <w:sz w:val="18"/>
          <w:szCs w:val="18"/>
        </w:rPr>
        <w:t xml:space="preserve">Het model vraagt u om </w:t>
      </w:r>
      <w:r w:rsidR="0081789E" w:rsidRPr="00EC51C2">
        <w:rPr>
          <w:rFonts w:ascii="Verdana" w:hAnsi="Verdana"/>
          <w:sz w:val="18"/>
          <w:szCs w:val="18"/>
        </w:rPr>
        <w:t xml:space="preserve">input in </w:t>
      </w:r>
      <w:r w:rsidR="00104406" w:rsidRPr="00EC51C2">
        <w:rPr>
          <w:rFonts w:ascii="Verdana" w:hAnsi="Verdana"/>
          <w:sz w:val="18"/>
          <w:szCs w:val="18"/>
        </w:rPr>
        <w:t>een aantal stappen</w:t>
      </w:r>
      <w:r w:rsidR="0081789E" w:rsidRPr="00EC51C2">
        <w:rPr>
          <w:rFonts w:ascii="Verdana" w:hAnsi="Verdana"/>
          <w:sz w:val="18"/>
          <w:szCs w:val="18"/>
        </w:rPr>
        <w:t xml:space="preserve">. </w:t>
      </w:r>
      <w:r w:rsidR="00D561B7" w:rsidRPr="00EC51C2">
        <w:rPr>
          <w:rFonts w:ascii="Verdana" w:hAnsi="Verdana"/>
          <w:sz w:val="18"/>
          <w:szCs w:val="18"/>
        </w:rPr>
        <w:t>Deze stappen worden in het vervolg van dit document nader toegelicht.</w:t>
      </w:r>
    </w:p>
    <w:tbl>
      <w:tblPr>
        <w:tblStyle w:val="Tabelraster"/>
        <w:tblW w:w="9322" w:type="dxa"/>
        <w:tblLook w:val="04A0" w:firstRow="1" w:lastRow="0" w:firstColumn="1" w:lastColumn="0" w:noHBand="0" w:noVBand="1"/>
      </w:tblPr>
      <w:tblGrid>
        <w:gridCol w:w="1105"/>
        <w:gridCol w:w="6726"/>
        <w:gridCol w:w="1491"/>
      </w:tblGrid>
      <w:tr w:rsidR="00D561B7" w:rsidRPr="00EC51C2" w14:paraId="34CE5D82" w14:textId="77777777" w:rsidTr="00D561B7">
        <w:trPr>
          <w:trHeight w:val="397"/>
        </w:trPr>
        <w:tc>
          <w:tcPr>
            <w:tcW w:w="1105" w:type="dxa"/>
            <w:shd w:val="clear" w:color="auto" w:fill="9BBB59" w:themeFill="accent3"/>
            <w:vAlign w:val="center"/>
          </w:tcPr>
          <w:p w14:paraId="2C00DCCD" w14:textId="77777777" w:rsidR="00D561B7" w:rsidRPr="00EC51C2" w:rsidRDefault="00D561B7" w:rsidP="00D561B7">
            <w:pPr>
              <w:rPr>
                <w:rFonts w:ascii="Verdana" w:hAnsi="Verdana"/>
                <w:b/>
                <w:sz w:val="18"/>
                <w:szCs w:val="18"/>
              </w:rPr>
            </w:pPr>
            <w:r w:rsidRPr="00EC51C2">
              <w:rPr>
                <w:rFonts w:ascii="Verdana" w:hAnsi="Verdana"/>
                <w:b/>
                <w:sz w:val="18"/>
                <w:szCs w:val="18"/>
              </w:rPr>
              <w:t>Stap 1</w:t>
            </w:r>
          </w:p>
        </w:tc>
        <w:tc>
          <w:tcPr>
            <w:tcW w:w="6726" w:type="dxa"/>
            <w:shd w:val="clear" w:color="auto" w:fill="9BBB59" w:themeFill="accent3"/>
            <w:vAlign w:val="center"/>
          </w:tcPr>
          <w:p w14:paraId="38237219" w14:textId="77777777" w:rsidR="00D561B7" w:rsidRPr="00EC51C2" w:rsidRDefault="00D561B7" w:rsidP="00D561B7">
            <w:pPr>
              <w:rPr>
                <w:rFonts w:ascii="Verdana" w:hAnsi="Verdana"/>
                <w:sz w:val="18"/>
                <w:szCs w:val="18"/>
              </w:rPr>
            </w:pPr>
            <w:r w:rsidRPr="00EC51C2">
              <w:rPr>
                <w:rFonts w:ascii="Verdana" w:hAnsi="Verdana"/>
                <w:sz w:val="18"/>
                <w:szCs w:val="18"/>
              </w:rPr>
              <w:t xml:space="preserve">Aantal </w:t>
            </w:r>
            <w:r w:rsidR="00A03CC7" w:rsidRPr="00EC51C2">
              <w:rPr>
                <w:rFonts w:ascii="Verdana" w:hAnsi="Verdana"/>
                <w:sz w:val="18"/>
                <w:szCs w:val="18"/>
              </w:rPr>
              <w:t xml:space="preserve">FTE </w:t>
            </w:r>
            <w:r w:rsidRPr="00EC51C2">
              <w:rPr>
                <w:rFonts w:ascii="Verdana" w:hAnsi="Verdana"/>
                <w:sz w:val="18"/>
                <w:szCs w:val="18"/>
              </w:rPr>
              <w:t xml:space="preserve">verpleeghuispersoneel in loondienst naar categorieën </w:t>
            </w:r>
          </w:p>
        </w:tc>
        <w:tc>
          <w:tcPr>
            <w:tcW w:w="1491" w:type="dxa"/>
            <w:vMerge w:val="restart"/>
            <w:shd w:val="clear" w:color="auto" w:fill="76923C" w:themeFill="accent3" w:themeFillShade="BF"/>
            <w:vAlign w:val="center"/>
          </w:tcPr>
          <w:p w14:paraId="42DD09D1" w14:textId="77777777" w:rsidR="00D561B7" w:rsidRPr="00EC51C2" w:rsidRDefault="00D561B7" w:rsidP="00D561B7">
            <w:pPr>
              <w:jc w:val="center"/>
              <w:rPr>
                <w:rFonts w:ascii="Verdana" w:hAnsi="Verdana"/>
                <w:color w:val="FFFFFF" w:themeColor="background1"/>
                <w:sz w:val="18"/>
                <w:szCs w:val="18"/>
              </w:rPr>
            </w:pPr>
            <w:r w:rsidRPr="00EC51C2">
              <w:rPr>
                <w:rFonts w:ascii="Verdana" w:hAnsi="Verdana"/>
                <w:color w:val="FFFFFF" w:themeColor="background1"/>
                <w:sz w:val="18"/>
                <w:szCs w:val="18"/>
              </w:rPr>
              <w:t>Begroting extra zorgpersoneel (85%)</w:t>
            </w:r>
          </w:p>
        </w:tc>
      </w:tr>
      <w:tr w:rsidR="00D561B7" w:rsidRPr="00EC51C2" w14:paraId="7F4504F4" w14:textId="77777777" w:rsidTr="00D561B7">
        <w:trPr>
          <w:trHeight w:val="397"/>
        </w:trPr>
        <w:tc>
          <w:tcPr>
            <w:tcW w:w="1105" w:type="dxa"/>
            <w:shd w:val="clear" w:color="auto" w:fill="D6E3BC" w:themeFill="accent3" w:themeFillTint="66"/>
            <w:vAlign w:val="center"/>
          </w:tcPr>
          <w:p w14:paraId="6BE6221C" w14:textId="77777777" w:rsidR="00D561B7" w:rsidRPr="00EC51C2" w:rsidRDefault="00D561B7" w:rsidP="00D561B7">
            <w:pPr>
              <w:rPr>
                <w:rFonts w:ascii="Verdana" w:hAnsi="Verdana"/>
                <w:b/>
                <w:sz w:val="18"/>
                <w:szCs w:val="18"/>
              </w:rPr>
            </w:pPr>
            <w:r w:rsidRPr="00EC51C2">
              <w:rPr>
                <w:rFonts w:ascii="Verdana" w:hAnsi="Verdana"/>
                <w:b/>
                <w:sz w:val="18"/>
                <w:szCs w:val="18"/>
              </w:rPr>
              <w:t>Stap 2</w:t>
            </w:r>
          </w:p>
        </w:tc>
        <w:tc>
          <w:tcPr>
            <w:tcW w:w="6726" w:type="dxa"/>
            <w:shd w:val="clear" w:color="auto" w:fill="D6E3BC" w:themeFill="accent3" w:themeFillTint="66"/>
            <w:vAlign w:val="center"/>
          </w:tcPr>
          <w:p w14:paraId="76B77CDC" w14:textId="77777777" w:rsidR="00D561B7" w:rsidRPr="00EC51C2" w:rsidRDefault="00D561B7" w:rsidP="00D561B7">
            <w:pPr>
              <w:rPr>
                <w:rFonts w:ascii="Verdana" w:hAnsi="Verdana"/>
                <w:sz w:val="18"/>
                <w:szCs w:val="18"/>
              </w:rPr>
            </w:pPr>
            <w:r w:rsidRPr="00EC51C2">
              <w:rPr>
                <w:rFonts w:ascii="Verdana" w:hAnsi="Verdana"/>
                <w:sz w:val="18"/>
                <w:szCs w:val="18"/>
              </w:rPr>
              <w:t xml:space="preserve">Gemiddelde loonkosten per extra </w:t>
            </w:r>
            <w:r w:rsidR="00A03CC7" w:rsidRPr="00EC51C2">
              <w:rPr>
                <w:rFonts w:ascii="Verdana" w:hAnsi="Verdana"/>
                <w:sz w:val="18"/>
                <w:szCs w:val="18"/>
              </w:rPr>
              <w:t xml:space="preserve">FTE </w:t>
            </w:r>
            <w:r w:rsidRPr="00EC51C2">
              <w:rPr>
                <w:rFonts w:ascii="Verdana" w:hAnsi="Verdana"/>
                <w:sz w:val="18"/>
                <w:szCs w:val="18"/>
              </w:rPr>
              <w:t>naar categorieën</w:t>
            </w:r>
          </w:p>
        </w:tc>
        <w:tc>
          <w:tcPr>
            <w:tcW w:w="1491" w:type="dxa"/>
            <w:vMerge/>
            <w:shd w:val="clear" w:color="auto" w:fill="76923C" w:themeFill="accent3" w:themeFillShade="BF"/>
          </w:tcPr>
          <w:p w14:paraId="783E0B50" w14:textId="77777777" w:rsidR="00D561B7" w:rsidRPr="00EC51C2" w:rsidRDefault="00D561B7" w:rsidP="00D561B7">
            <w:pPr>
              <w:rPr>
                <w:rFonts w:ascii="Verdana" w:hAnsi="Verdana"/>
                <w:sz w:val="18"/>
                <w:szCs w:val="18"/>
              </w:rPr>
            </w:pPr>
          </w:p>
        </w:tc>
      </w:tr>
      <w:tr w:rsidR="00D561B7" w:rsidRPr="00EC51C2" w14:paraId="4619EF1C" w14:textId="77777777" w:rsidTr="00D561B7">
        <w:trPr>
          <w:trHeight w:val="397"/>
        </w:trPr>
        <w:tc>
          <w:tcPr>
            <w:tcW w:w="1105" w:type="dxa"/>
            <w:shd w:val="clear" w:color="auto" w:fill="9BBB59" w:themeFill="accent3"/>
            <w:vAlign w:val="center"/>
          </w:tcPr>
          <w:p w14:paraId="15DBFF73" w14:textId="77777777" w:rsidR="00D561B7" w:rsidRPr="00EC51C2" w:rsidRDefault="00D561B7" w:rsidP="00D561B7">
            <w:pPr>
              <w:rPr>
                <w:rFonts w:ascii="Verdana" w:hAnsi="Verdana"/>
                <w:b/>
                <w:sz w:val="18"/>
                <w:szCs w:val="18"/>
              </w:rPr>
            </w:pPr>
            <w:r w:rsidRPr="00EC51C2">
              <w:rPr>
                <w:rFonts w:ascii="Verdana" w:hAnsi="Verdana"/>
                <w:b/>
                <w:sz w:val="18"/>
                <w:szCs w:val="18"/>
              </w:rPr>
              <w:t>Stap 3</w:t>
            </w:r>
          </w:p>
        </w:tc>
        <w:tc>
          <w:tcPr>
            <w:tcW w:w="6726" w:type="dxa"/>
            <w:shd w:val="clear" w:color="auto" w:fill="9BBB59" w:themeFill="accent3"/>
            <w:vAlign w:val="center"/>
          </w:tcPr>
          <w:p w14:paraId="33E3AD87" w14:textId="77777777" w:rsidR="00D561B7" w:rsidRPr="00EC51C2" w:rsidRDefault="00D561B7" w:rsidP="00D561B7">
            <w:pPr>
              <w:rPr>
                <w:rFonts w:ascii="Verdana" w:hAnsi="Verdana"/>
                <w:sz w:val="18"/>
                <w:szCs w:val="18"/>
              </w:rPr>
            </w:pPr>
            <w:r w:rsidRPr="00EC51C2">
              <w:rPr>
                <w:rFonts w:ascii="Verdana" w:hAnsi="Verdana"/>
                <w:sz w:val="18"/>
                <w:szCs w:val="18"/>
              </w:rPr>
              <w:t xml:space="preserve">Aantal </w:t>
            </w:r>
            <w:r w:rsidR="00A03CC7" w:rsidRPr="00EC51C2">
              <w:rPr>
                <w:rFonts w:ascii="Verdana" w:hAnsi="Verdana"/>
                <w:sz w:val="18"/>
                <w:szCs w:val="18"/>
              </w:rPr>
              <w:t xml:space="preserve">FTE </w:t>
            </w:r>
            <w:r w:rsidRPr="00EC51C2">
              <w:rPr>
                <w:rFonts w:ascii="Verdana" w:hAnsi="Verdana"/>
                <w:sz w:val="18"/>
                <w:szCs w:val="18"/>
              </w:rPr>
              <w:t>inhuur zorgpersoneel en kosten van de inhuur zorgpersoneel</w:t>
            </w:r>
          </w:p>
        </w:tc>
        <w:tc>
          <w:tcPr>
            <w:tcW w:w="1491" w:type="dxa"/>
            <w:vMerge/>
            <w:shd w:val="clear" w:color="auto" w:fill="76923C" w:themeFill="accent3" w:themeFillShade="BF"/>
          </w:tcPr>
          <w:p w14:paraId="4084EA36" w14:textId="77777777" w:rsidR="00D561B7" w:rsidRPr="00EC51C2" w:rsidRDefault="00D561B7" w:rsidP="00D561B7">
            <w:pPr>
              <w:rPr>
                <w:rFonts w:ascii="Verdana" w:hAnsi="Verdana"/>
                <w:sz w:val="18"/>
                <w:szCs w:val="18"/>
              </w:rPr>
            </w:pPr>
          </w:p>
        </w:tc>
      </w:tr>
      <w:tr w:rsidR="00D561B7" w:rsidRPr="00EC51C2" w14:paraId="6D2A38C2" w14:textId="77777777" w:rsidTr="00D561B7">
        <w:trPr>
          <w:trHeight w:val="397"/>
        </w:trPr>
        <w:tc>
          <w:tcPr>
            <w:tcW w:w="1105" w:type="dxa"/>
            <w:shd w:val="clear" w:color="auto" w:fill="D6E3BC" w:themeFill="accent3" w:themeFillTint="66"/>
            <w:vAlign w:val="center"/>
          </w:tcPr>
          <w:p w14:paraId="6BF6E8AD" w14:textId="77777777" w:rsidR="00D561B7" w:rsidRPr="00EC51C2" w:rsidRDefault="00D561B7" w:rsidP="00D561B7">
            <w:pPr>
              <w:rPr>
                <w:rFonts w:ascii="Verdana" w:hAnsi="Verdana"/>
                <w:b/>
                <w:sz w:val="18"/>
                <w:szCs w:val="18"/>
              </w:rPr>
            </w:pPr>
            <w:r w:rsidRPr="00EC51C2">
              <w:rPr>
                <w:rFonts w:ascii="Verdana" w:hAnsi="Verdana"/>
                <w:b/>
                <w:sz w:val="18"/>
                <w:szCs w:val="18"/>
              </w:rPr>
              <w:t>Stap 4</w:t>
            </w:r>
          </w:p>
        </w:tc>
        <w:tc>
          <w:tcPr>
            <w:tcW w:w="6726" w:type="dxa"/>
            <w:shd w:val="clear" w:color="auto" w:fill="D6E3BC" w:themeFill="accent3" w:themeFillTint="66"/>
            <w:vAlign w:val="center"/>
          </w:tcPr>
          <w:p w14:paraId="7A491713" w14:textId="77777777" w:rsidR="00D561B7" w:rsidRPr="00EC51C2" w:rsidRDefault="00D561B7" w:rsidP="00D561B7">
            <w:pPr>
              <w:rPr>
                <w:rFonts w:ascii="Verdana" w:hAnsi="Verdana"/>
                <w:sz w:val="18"/>
                <w:szCs w:val="18"/>
              </w:rPr>
            </w:pPr>
            <w:r w:rsidRPr="00EC51C2">
              <w:rPr>
                <w:rFonts w:ascii="Verdana" w:hAnsi="Verdana"/>
                <w:sz w:val="18"/>
                <w:szCs w:val="18"/>
              </w:rPr>
              <w:t>Correctie cliëntenaantal/mix</w:t>
            </w:r>
          </w:p>
        </w:tc>
        <w:tc>
          <w:tcPr>
            <w:tcW w:w="1491" w:type="dxa"/>
            <w:vMerge/>
            <w:shd w:val="clear" w:color="auto" w:fill="76923C" w:themeFill="accent3" w:themeFillShade="BF"/>
          </w:tcPr>
          <w:p w14:paraId="61073933" w14:textId="77777777" w:rsidR="00D561B7" w:rsidRPr="00EC51C2" w:rsidRDefault="00D561B7" w:rsidP="00D561B7">
            <w:pPr>
              <w:rPr>
                <w:rFonts w:ascii="Verdana" w:hAnsi="Verdana"/>
                <w:sz w:val="18"/>
                <w:szCs w:val="18"/>
              </w:rPr>
            </w:pPr>
          </w:p>
        </w:tc>
      </w:tr>
      <w:tr w:rsidR="00D561B7" w:rsidRPr="00EC51C2" w14:paraId="5EFC76CA" w14:textId="77777777" w:rsidTr="00D561B7">
        <w:trPr>
          <w:trHeight w:val="397"/>
        </w:trPr>
        <w:tc>
          <w:tcPr>
            <w:tcW w:w="1105" w:type="dxa"/>
            <w:shd w:val="clear" w:color="auto" w:fill="9BBB59" w:themeFill="accent3"/>
            <w:vAlign w:val="center"/>
          </w:tcPr>
          <w:p w14:paraId="07D06583" w14:textId="77777777" w:rsidR="00D561B7" w:rsidRPr="00EC51C2" w:rsidRDefault="00D561B7" w:rsidP="00D561B7">
            <w:pPr>
              <w:rPr>
                <w:rFonts w:ascii="Verdana" w:hAnsi="Verdana"/>
                <w:b/>
                <w:sz w:val="18"/>
                <w:szCs w:val="18"/>
              </w:rPr>
            </w:pPr>
            <w:r w:rsidRPr="00EC51C2">
              <w:rPr>
                <w:rFonts w:ascii="Verdana" w:hAnsi="Verdana"/>
                <w:b/>
                <w:sz w:val="18"/>
                <w:szCs w:val="18"/>
              </w:rPr>
              <w:t>Stap 5</w:t>
            </w:r>
          </w:p>
        </w:tc>
        <w:tc>
          <w:tcPr>
            <w:tcW w:w="6726" w:type="dxa"/>
            <w:shd w:val="clear" w:color="auto" w:fill="9BBB59" w:themeFill="accent3"/>
            <w:vAlign w:val="center"/>
          </w:tcPr>
          <w:p w14:paraId="60D30FF4" w14:textId="77777777" w:rsidR="00D561B7" w:rsidRPr="00EC51C2" w:rsidRDefault="00D561B7" w:rsidP="00D561B7">
            <w:pPr>
              <w:rPr>
                <w:rFonts w:ascii="Verdana" w:hAnsi="Verdana"/>
                <w:sz w:val="18"/>
                <w:szCs w:val="18"/>
              </w:rPr>
            </w:pPr>
            <w:r w:rsidRPr="00EC51C2">
              <w:rPr>
                <w:rFonts w:ascii="Verdana" w:hAnsi="Verdana"/>
                <w:sz w:val="18"/>
                <w:szCs w:val="18"/>
              </w:rPr>
              <w:t>Begroting extra personeelskosten (totaal)</w:t>
            </w:r>
          </w:p>
        </w:tc>
        <w:tc>
          <w:tcPr>
            <w:tcW w:w="1491" w:type="dxa"/>
            <w:vMerge/>
            <w:shd w:val="clear" w:color="auto" w:fill="76923C" w:themeFill="accent3" w:themeFillShade="BF"/>
          </w:tcPr>
          <w:p w14:paraId="1C17FAC7" w14:textId="77777777" w:rsidR="00D561B7" w:rsidRPr="00EC51C2" w:rsidRDefault="00D561B7" w:rsidP="00D561B7">
            <w:pPr>
              <w:rPr>
                <w:rFonts w:ascii="Verdana" w:hAnsi="Verdana"/>
                <w:sz w:val="18"/>
                <w:szCs w:val="18"/>
              </w:rPr>
            </w:pPr>
          </w:p>
        </w:tc>
      </w:tr>
      <w:tr w:rsidR="00D561B7" w:rsidRPr="00EC51C2" w14:paraId="3EE4844B" w14:textId="77777777" w:rsidTr="00D561B7">
        <w:trPr>
          <w:trHeight w:val="454"/>
        </w:trPr>
        <w:tc>
          <w:tcPr>
            <w:tcW w:w="1105" w:type="dxa"/>
            <w:shd w:val="clear" w:color="auto" w:fill="E5B8B7" w:themeFill="accent2" w:themeFillTint="66"/>
            <w:vAlign w:val="center"/>
          </w:tcPr>
          <w:p w14:paraId="1665FCB3" w14:textId="77777777" w:rsidR="00D561B7" w:rsidRPr="00EC51C2" w:rsidRDefault="00D561B7" w:rsidP="00D561B7">
            <w:pPr>
              <w:rPr>
                <w:rFonts w:ascii="Verdana" w:hAnsi="Verdana"/>
                <w:b/>
                <w:sz w:val="18"/>
                <w:szCs w:val="18"/>
              </w:rPr>
            </w:pPr>
            <w:r w:rsidRPr="00EC51C2">
              <w:rPr>
                <w:rFonts w:ascii="Verdana" w:hAnsi="Verdana"/>
                <w:b/>
                <w:sz w:val="18"/>
                <w:szCs w:val="18"/>
              </w:rPr>
              <w:t>Stap 6</w:t>
            </w:r>
          </w:p>
        </w:tc>
        <w:tc>
          <w:tcPr>
            <w:tcW w:w="6726" w:type="dxa"/>
            <w:shd w:val="clear" w:color="auto" w:fill="E5B8B7" w:themeFill="accent2" w:themeFillTint="66"/>
            <w:vAlign w:val="center"/>
          </w:tcPr>
          <w:p w14:paraId="619C2648" w14:textId="77777777" w:rsidR="00D561B7" w:rsidRPr="00EC51C2" w:rsidRDefault="00D561B7" w:rsidP="00D561B7">
            <w:pPr>
              <w:rPr>
                <w:rFonts w:ascii="Verdana" w:hAnsi="Verdana"/>
                <w:sz w:val="18"/>
                <w:szCs w:val="18"/>
              </w:rPr>
            </w:pPr>
            <w:r w:rsidRPr="00EC51C2">
              <w:rPr>
                <w:rFonts w:ascii="Verdana" w:hAnsi="Verdana"/>
                <w:sz w:val="18"/>
                <w:szCs w:val="18"/>
              </w:rPr>
              <w:t>Bedrag aan andere investeringen in kwaliteitskader</w:t>
            </w:r>
          </w:p>
        </w:tc>
        <w:tc>
          <w:tcPr>
            <w:tcW w:w="1491" w:type="dxa"/>
            <w:shd w:val="clear" w:color="auto" w:fill="C0504D" w:themeFill="accent2"/>
          </w:tcPr>
          <w:p w14:paraId="3E758E65" w14:textId="77777777" w:rsidR="00D561B7" w:rsidRPr="00EC51C2" w:rsidRDefault="00D561B7" w:rsidP="00807B2F">
            <w:pPr>
              <w:jc w:val="center"/>
              <w:rPr>
                <w:rFonts w:ascii="Verdana" w:hAnsi="Verdana"/>
                <w:color w:val="FFFFFF" w:themeColor="background1"/>
                <w:sz w:val="18"/>
                <w:szCs w:val="18"/>
              </w:rPr>
            </w:pPr>
            <w:r w:rsidRPr="00EC51C2">
              <w:rPr>
                <w:rFonts w:ascii="Verdana" w:hAnsi="Verdana"/>
                <w:color w:val="FFFFFF" w:themeColor="background1"/>
                <w:sz w:val="18"/>
                <w:szCs w:val="18"/>
              </w:rPr>
              <w:t>Begroting overig (15%)</w:t>
            </w:r>
          </w:p>
        </w:tc>
      </w:tr>
      <w:tr w:rsidR="00B05C57" w:rsidRPr="00EC51C2" w14:paraId="5692D1BB" w14:textId="77777777" w:rsidTr="00BA4662">
        <w:trPr>
          <w:trHeight w:val="454"/>
        </w:trPr>
        <w:tc>
          <w:tcPr>
            <w:tcW w:w="1105" w:type="dxa"/>
            <w:shd w:val="clear" w:color="auto" w:fill="E5B8B7" w:themeFill="accent2" w:themeFillTint="66"/>
            <w:vAlign w:val="center"/>
          </w:tcPr>
          <w:p w14:paraId="5FB415A6" w14:textId="77777777" w:rsidR="00B05C57" w:rsidRPr="00EC51C2" w:rsidRDefault="00B05C57" w:rsidP="00D561B7">
            <w:pPr>
              <w:rPr>
                <w:rFonts w:ascii="Verdana" w:hAnsi="Verdana"/>
                <w:b/>
                <w:sz w:val="18"/>
                <w:szCs w:val="18"/>
              </w:rPr>
            </w:pPr>
            <w:r w:rsidRPr="00EC51C2">
              <w:rPr>
                <w:rFonts w:ascii="Verdana" w:hAnsi="Verdana"/>
                <w:b/>
                <w:sz w:val="18"/>
                <w:szCs w:val="18"/>
              </w:rPr>
              <w:t>Stap 7</w:t>
            </w:r>
          </w:p>
        </w:tc>
        <w:tc>
          <w:tcPr>
            <w:tcW w:w="8217" w:type="dxa"/>
            <w:gridSpan w:val="2"/>
            <w:shd w:val="clear" w:color="auto" w:fill="E5B8B7" w:themeFill="accent2" w:themeFillTint="66"/>
            <w:vAlign w:val="center"/>
          </w:tcPr>
          <w:p w14:paraId="1AAF6A6F" w14:textId="77777777" w:rsidR="00B05C57" w:rsidRPr="00EC51C2" w:rsidRDefault="00B05C57" w:rsidP="00D561B7">
            <w:pPr>
              <w:rPr>
                <w:rFonts w:ascii="Verdana" w:hAnsi="Verdana"/>
                <w:color w:val="FFFFFF" w:themeColor="background1"/>
                <w:sz w:val="18"/>
                <w:szCs w:val="18"/>
              </w:rPr>
            </w:pPr>
            <w:r w:rsidRPr="00EC51C2">
              <w:rPr>
                <w:rFonts w:ascii="Verdana" w:hAnsi="Verdana"/>
                <w:sz w:val="18"/>
                <w:szCs w:val="18"/>
              </w:rPr>
              <w:t>Resulterende begroting: Confrontatie begroting kwaliteitsbudget met gereserveerde initiële budget</w:t>
            </w:r>
          </w:p>
        </w:tc>
      </w:tr>
    </w:tbl>
    <w:p w14:paraId="5984CF9E" w14:textId="77777777" w:rsidR="000A1F30" w:rsidRPr="00EC51C2" w:rsidRDefault="000A1F30" w:rsidP="00EC51C2">
      <w:pPr>
        <w:spacing w:after="0"/>
        <w:rPr>
          <w:rFonts w:ascii="Verdana" w:hAnsi="Verdana"/>
          <w:sz w:val="18"/>
          <w:szCs w:val="18"/>
        </w:rPr>
      </w:pPr>
    </w:p>
    <w:p w14:paraId="571DD4B0" w14:textId="5F57E576" w:rsidR="00D949DB" w:rsidRPr="00EC51C2" w:rsidRDefault="00AF1BA6" w:rsidP="00113B6D">
      <w:pPr>
        <w:pStyle w:val="Lijstalinea"/>
        <w:numPr>
          <w:ilvl w:val="0"/>
          <w:numId w:val="18"/>
        </w:numPr>
        <w:rPr>
          <w:rFonts w:ascii="Verdana" w:hAnsi="Verdana"/>
          <w:sz w:val="18"/>
          <w:szCs w:val="18"/>
        </w:rPr>
      </w:pPr>
      <w:r w:rsidRPr="00EC51C2">
        <w:rPr>
          <w:rFonts w:ascii="Verdana" w:hAnsi="Verdana"/>
          <w:sz w:val="18"/>
          <w:szCs w:val="18"/>
        </w:rPr>
        <w:t xml:space="preserve">Het model rekent uw input door en geeft </w:t>
      </w:r>
      <w:r w:rsidR="008D181D" w:rsidRPr="00EC51C2">
        <w:rPr>
          <w:rFonts w:ascii="Verdana" w:hAnsi="Verdana"/>
          <w:sz w:val="18"/>
          <w:szCs w:val="18"/>
        </w:rPr>
        <w:t xml:space="preserve">na stap 6 </w:t>
      </w:r>
      <w:r w:rsidRPr="00EC51C2">
        <w:rPr>
          <w:rFonts w:ascii="Verdana" w:hAnsi="Verdana"/>
          <w:sz w:val="18"/>
          <w:szCs w:val="18"/>
        </w:rPr>
        <w:t>aan of de begroting past binnen het</w:t>
      </w:r>
      <w:r w:rsidR="00B3465E" w:rsidRPr="00EC51C2">
        <w:rPr>
          <w:rFonts w:ascii="Verdana" w:hAnsi="Verdana"/>
          <w:sz w:val="18"/>
          <w:szCs w:val="18"/>
        </w:rPr>
        <w:t xml:space="preserve"> bij aanvang van 20</w:t>
      </w:r>
      <w:r w:rsidR="00104406" w:rsidRPr="00EC51C2">
        <w:rPr>
          <w:rFonts w:ascii="Verdana" w:hAnsi="Verdana"/>
          <w:sz w:val="18"/>
          <w:szCs w:val="18"/>
        </w:rPr>
        <w:t>2</w:t>
      </w:r>
      <w:r w:rsidR="002E6FD9">
        <w:rPr>
          <w:rFonts w:ascii="Verdana" w:hAnsi="Verdana"/>
          <w:sz w:val="18"/>
          <w:szCs w:val="18"/>
        </w:rPr>
        <w:t>1</w:t>
      </w:r>
      <w:r w:rsidR="00B3465E" w:rsidRPr="00EC51C2">
        <w:rPr>
          <w:rFonts w:ascii="Verdana" w:hAnsi="Verdana"/>
          <w:sz w:val="18"/>
          <w:szCs w:val="18"/>
        </w:rPr>
        <w:t xml:space="preserve"> gereserveerde kwaliteitsbudget (</w:t>
      </w:r>
      <w:r w:rsidR="001A1833" w:rsidRPr="00EC51C2">
        <w:rPr>
          <w:rFonts w:ascii="Verdana" w:hAnsi="Verdana"/>
          <w:sz w:val="18"/>
          <w:szCs w:val="18"/>
        </w:rPr>
        <w:t xml:space="preserve">zie </w:t>
      </w:r>
      <w:r w:rsidR="001A1833" w:rsidRPr="00F3350F">
        <w:rPr>
          <w:rFonts w:ascii="Verdana" w:hAnsi="Verdana"/>
          <w:sz w:val="18"/>
          <w:szCs w:val="18"/>
        </w:rPr>
        <w:t>het</w:t>
      </w:r>
      <w:r w:rsidR="00F3350F">
        <w:rPr>
          <w:rFonts w:ascii="Verdana" w:hAnsi="Verdana"/>
          <w:sz w:val="18"/>
          <w:szCs w:val="18"/>
        </w:rPr>
        <w:t xml:space="preserve"> ‘</w:t>
      </w:r>
      <w:r w:rsidR="00F3350F" w:rsidRPr="00AB3B35">
        <w:rPr>
          <w:rFonts w:ascii="Verdana" w:hAnsi="Verdana"/>
          <w:sz w:val="18"/>
          <w:szCs w:val="18"/>
        </w:rPr>
        <w:t>Inkoopkader langdurige zorg 2021-2023</w:t>
      </w:r>
      <w:r w:rsidR="001A1833">
        <w:rPr>
          <w:rFonts w:ascii="Verdana" w:hAnsi="Verdana"/>
          <w:sz w:val="18"/>
          <w:szCs w:val="18"/>
        </w:rPr>
        <w:t>’</w:t>
      </w:r>
      <w:r w:rsidR="001A1833" w:rsidRPr="00AB3B35">
        <w:rPr>
          <w:rFonts w:ascii="Verdana" w:hAnsi="Verdana"/>
          <w:sz w:val="18"/>
          <w:szCs w:val="18"/>
        </w:rPr>
        <w:t xml:space="preserve"> </w:t>
      </w:r>
      <w:r w:rsidR="001A1833" w:rsidRPr="00EC51C2">
        <w:rPr>
          <w:rFonts w:ascii="Verdana" w:hAnsi="Verdana"/>
          <w:sz w:val="18"/>
          <w:szCs w:val="18"/>
        </w:rPr>
        <w:t>paragraaf</w:t>
      </w:r>
      <w:r w:rsidR="00B3465E" w:rsidRPr="00EC51C2">
        <w:rPr>
          <w:rFonts w:ascii="Verdana" w:hAnsi="Verdana"/>
          <w:sz w:val="18"/>
          <w:szCs w:val="18"/>
        </w:rPr>
        <w:t xml:space="preserve"> 4.2.1)</w:t>
      </w:r>
      <w:r w:rsidRPr="00EC51C2">
        <w:rPr>
          <w:rFonts w:ascii="Verdana" w:hAnsi="Verdana"/>
          <w:sz w:val="18"/>
          <w:szCs w:val="18"/>
        </w:rPr>
        <w:t xml:space="preserve">. Daarbij houdt het model rekening met </w:t>
      </w:r>
      <w:r w:rsidR="003A3843" w:rsidRPr="00EC51C2">
        <w:rPr>
          <w:rFonts w:ascii="Verdana" w:hAnsi="Verdana"/>
          <w:sz w:val="18"/>
          <w:szCs w:val="18"/>
        </w:rPr>
        <w:t>de</w:t>
      </w:r>
      <w:r w:rsidR="009A4122" w:rsidRPr="00EC51C2">
        <w:rPr>
          <w:rFonts w:ascii="Verdana" w:hAnsi="Verdana"/>
          <w:sz w:val="18"/>
          <w:szCs w:val="18"/>
        </w:rPr>
        <w:t xml:space="preserve"> </w:t>
      </w:r>
      <w:r w:rsidR="00F16AF5" w:rsidRPr="00EC51C2">
        <w:rPr>
          <w:rFonts w:ascii="Verdana" w:hAnsi="Verdana"/>
          <w:sz w:val="18"/>
          <w:szCs w:val="18"/>
        </w:rPr>
        <w:t xml:space="preserve">15% </w:t>
      </w:r>
      <w:r w:rsidR="003A3843" w:rsidRPr="00EC51C2">
        <w:rPr>
          <w:rFonts w:ascii="Verdana" w:hAnsi="Verdana"/>
          <w:sz w:val="18"/>
          <w:szCs w:val="18"/>
        </w:rPr>
        <w:t>(</w:t>
      </w:r>
      <w:r w:rsidRPr="00EC51C2">
        <w:rPr>
          <w:rFonts w:ascii="Verdana" w:hAnsi="Verdana"/>
          <w:sz w:val="18"/>
          <w:szCs w:val="18"/>
        </w:rPr>
        <w:t>als richt</w:t>
      </w:r>
      <w:r w:rsidR="00104406" w:rsidRPr="00EC51C2">
        <w:rPr>
          <w:rFonts w:ascii="Verdana" w:hAnsi="Verdana"/>
          <w:sz w:val="18"/>
          <w:szCs w:val="18"/>
        </w:rPr>
        <w:t>lijn</w:t>
      </w:r>
      <w:r w:rsidR="00D223D8" w:rsidRPr="00EC51C2">
        <w:rPr>
          <w:rFonts w:ascii="Verdana" w:hAnsi="Verdana"/>
          <w:sz w:val="18"/>
          <w:szCs w:val="18"/>
        </w:rPr>
        <w:t xml:space="preserve">) </w:t>
      </w:r>
      <w:r w:rsidRPr="00EC51C2">
        <w:rPr>
          <w:rFonts w:ascii="Verdana" w:hAnsi="Verdana"/>
          <w:sz w:val="18"/>
          <w:szCs w:val="18"/>
        </w:rPr>
        <w:t xml:space="preserve">voor andere investeringen dan extra zorgpersoneel. </w:t>
      </w:r>
    </w:p>
    <w:p w14:paraId="2E753A2E" w14:textId="77777777" w:rsidR="00DC1F30" w:rsidRPr="00EC51C2" w:rsidRDefault="00DC1F30" w:rsidP="00113B6D">
      <w:pPr>
        <w:pStyle w:val="Lijstalinea"/>
        <w:numPr>
          <w:ilvl w:val="0"/>
          <w:numId w:val="18"/>
        </w:numPr>
        <w:rPr>
          <w:rFonts w:ascii="Verdana" w:hAnsi="Verdana"/>
          <w:sz w:val="18"/>
          <w:szCs w:val="18"/>
        </w:rPr>
      </w:pPr>
      <w:r w:rsidRPr="00EC51C2">
        <w:rPr>
          <w:rFonts w:ascii="Verdana" w:hAnsi="Verdana"/>
          <w:sz w:val="18"/>
          <w:szCs w:val="18"/>
        </w:rPr>
        <w:t>Het model gaat uit van data op contractniveau per zorgkantoor (</w:t>
      </w:r>
      <w:r w:rsidR="00140D66" w:rsidRPr="00EC51C2">
        <w:rPr>
          <w:rFonts w:ascii="Verdana" w:hAnsi="Verdana"/>
          <w:sz w:val="18"/>
          <w:szCs w:val="18"/>
        </w:rPr>
        <w:t xml:space="preserve">NZa </w:t>
      </w:r>
      <w:r w:rsidRPr="00EC51C2">
        <w:rPr>
          <w:rFonts w:ascii="Verdana" w:hAnsi="Verdana"/>
          <w:sz w:val="18"/>
          <w:szCs w:val="18"/>
        </w:rPr>
        <w:t xml:space="preserve">300-code). </w:t>
      </w:r>
    </w:p>
    <w:p w14:paraId="6245D32C" w14:textId="79FCBB6E" w:rsidR="007A2185" w:rsidRPr="00EC51C2" w:rsidRDefault="00CF415B" w:rsidP="00113B6D">
      <w:pPr>
        <w:pStyle w:val="Lijstalinea"/>
        <w:numPr>
          <w:ilvl w:val="0"/>
          <w:numId w:val="18"/>
        </w:numPr>
        <w:rPr>
          <w:rFonts w:ascii="Verdana" w:hAnsi="Verdana"/>
          <w:sz w:val="18"/>
          <w:szCs w:val="18"/>
        </w:rPr>
      </w:pPr>
      <w:r w:rsidRPr="00EC51C2">
        <w:rPr>
          <w:rFonts w:ascii="Verdana" w:hAnsi="Verdana"/>
          <w:sz w:val="18"/>
          <w:szCs w:val="18"/>
        </w:rPr>
        <w:t xml:space="preserve">Alleen de extra loonkosten voor het extra </w:t>
      </w:r>
      <w:r w:rsidR="00550669">
        <w:rPr>
          <w:rFonts w:ascii="Verdana" w:hAnsi="Verdana"/>
          <w:sz w:val="18"/>
          <w:szCs w:val="18"/>
        </w:rPr>
        <w:t>zorg</w:t>
      </w:r>
      <w:r w:rsidRPr="00EC51C2">
        <w:rPr>
          <w:rFonts w:ascii="Verdana" w:hAnsi="Verdana"/>
          <w:sz w:val="18"/>
          <w:szCs w:val="18"/>
        </w:rPr>
        <w:t xml:space="preserve">personeel dat ingezet wordt voor klanten waarop het kwaliteitskader van toepassing is (groepen klanten met </w:t>
      </w:r>
      <w:proofErr w:type="spellStart"/>
      <w:r w:rsidR="00140D66" w:rsidRPr="00EC51C2">
        <w:rPr>
          <w:rFonts w:ascii="Verdana" w:hAnsi="Verdana"/>
          <w:sz w:val="18"/>
          <w:szCs w:val="18"/>
        </w:rPr>
        <w:t>zzp’s</w:t>
      </w:r>
      <w:proofErr w:type="spellEnd"/>
      <w:r w:rsidR="00140D66" w:rsidRPr="00EC51C2">
        <w:rPr>
          <w:rFonts w:ascii="Verdana" w:hAnsi="Verdana"/>
          <w:sz w:val="18"/>
          <w:szCs w:val="18"/>
        </w:rPr>
        <w:t xml:space="preserve"> </w:t>
      </w:r>
      <w:r w:rsidRPr="00EC51C2">
        <w:rPr>
          <w:rFonts w:ascii="Verdana" w:hAnsi="Verdana"/>
          <w:sz w:val="18"/>
          <w:szCs w:val="18"/>
        </w:rPr>
        <w:t xml:space="preserve">en </w:t>
      </w:r>
      <w:r w:rsidR="00F6285E" w:rsidRPr="00EC51C2">
        <w:rPr>
          <w:rFonts w:ascii="Verdana" w:hAnsi="Verdana"/>
          <w:sz w:val="18"/>
          <w:szCs w:val="18"/>
        </w:rPr>
        <w:t xml:space="preserve">geclusterde </w:t>
      </w:r>
      <w:proofErr w:type="spellStart"/>
      <w:r w:rsidR="00140D66" w:rsidRPr="00EC51C2">
        <w:rPr>
          <w:rFonts w:ascii="Verdana" w:hAnsi="Verdana"/>
          <w:sz w:val="18"/>
          <w:szCs w:val="18"/>
        </w:rPr>
        <w:t>vpt’s</w:t>
      </w:r>
      <w:proofErr w:type="spellEnd"/>
      <w:r w:rsidR="00140D66" w:rsidRPr="00EC51C2">
        <w:rPr>
          <w:rFonts w:ascii="Verdana" w:hAnsi="Verdana"/>
          <w:sz w:val="18"/>
          <w:szCs w:val="18"/>
        </w:rPr>
        <w:t xml:space="preserve"> </w:t>
      </w:r>
      <w:r w:rsidRPr="00EC51C2">
        <w:rPr>
          <w:rFonts w:ascii="Verdana" w:hAnsi="Verdana"/>
          <w:sz w:val="18"/>
          <w:szCs w:val="18"/>
        </w:rPr>
        <w:t>VV4 t/m VV10) komen in aanmerking voor vergoeding vanuit het kwaliteitsbudget.</w:t>
      </w:r>
      <w:r w:rsidR="00DF3555" w:rsidRPr="00EC51C2">
        <w:rPr>
          <w:rFonts w:ascii="Verdana" w:hAnsi="Verdana"/>
          <w:sz w:val="18"/>
          <w:szCs w:val="18"/>
        </w:rPr>
        <w:t xml:space="preserve"> Voor de berekening van de vergoeding vanuit het kwaliteitsbudget</w:t>
      </w:r>
      <w:r w:rsidR="007A2185" w:rsidRPr="00EC51C2">
        <w:rPr>
          <w:rFonts w:ascii="Verdana" w:hAnsi="Verdana"/>
          <w:sz w:val="18"/>
          <w:szCs w:val="18"/>
        </w:rPr>
        <w:t xml:space="preserve"> 20</w:t>
      </w:r>
      <w:r w:rsidR="00A853AE" w:rsidRPr="00EC51C2">
        <w:rPr>
          <w:rFonts w:ascii="Verdana" w:hAnsi="Verdana"/>
          <w:sz w:val="18"/>
          <w:szCs w:val="18"/>
        </w:rPr>
        <w:t>2</w:t>
      </w:r>
      <w:r w:rsidR="00CB72C0">
        <w:rPr>
          <w:rFonts w:ascii="Verdana" w:hAnsi="Verdana"/>
          <w:sz w:val="18"/>
          <w:szCs w:val="18"/>
        </w:rPr>
        <w:t>1</w:t>
      </w:r>
      <w:r w:rsidR="00DF3555" w:rsidRPr="00EC51C2">
        <w:rPr>
          <w:rFonts w:ascii="Verdana" w:hAnsi="Verdana"/>
          <w:sz w:val="18"/>
          <w:szCs w:val="18"/>
        </w:rPr>
        <w:t xml:space="preserve"> (inzet voor extra zorgpersoneel) worden de </w:t>
      </w:r>
      <w:r w:rsidR="007A2185" w:rsidRPr="00EC51C2">
        <w:rPr>
          <w:rFonts w:ascii="Verdana" w:hAnsi="Verdana"/>
          <w:sz w:val="18"/>
          <w:szCs w:val="18"/>
        </w:rPr>
        <w:t>loon</w:t>
      </w:r>
      <w:r w:rsidR="00DF3555" w:rsidRPr="00EC51C2">
        <w:rPr>
          <w:rFonts w:ascii="Verdana" w:hAnsi="Verdana"/>
          <w:sz w:val="18"/>
          <w:szCs w:val="18"/>
        </w:rPr>
        <w:t xml:space="preserve">kosten voor </w:t>
      </w:r>
      <w:r w:rsidR="00E70BD4" w:rsidRPr="00EC51C2">
        <w:rPr>
          <w:rFonts w:ascii="Verdana" w:hAnsi="Verdana"/>
          <w:sz w:val="18"/>
          <w:szCs w:val="18"/>
        </w:rPr>
        <w:t xml:space="preserve">extra </w:t>
      </w:r>
      <w:r w:rsidR="00DF3555" w:rsidRPr="00EC51C2">
        <w:rPr>
          <w:rFonts w:ascii="Verdana" w:hAnsi="Verdana"/>
          <w:sz w:val="18"/>
          <w:szCs w:val="18"/>
        </w:rPr>
        <w:t xml:space="preserve">zorgpersoneel </w:t>
      </w:r>
      <w:r w:rsidR="00E70BD4" w:rsidRPr="00EC51C2">
        <w:rPr>
          <w:rFonts w:ascii="Verdana" w:hAnsi="Verdana"/>
          <w:sz w:val="18"/>
          <w:szCs w:val="18"/>
        </w:rPr>
        <w:t xml:space="preserve">in </w:t>
      </w:r>
      <w:r w:rsidR="00DF3555" w:rsidRPr="00EC51C2">
        <w:rPr>
          <w:rFonts w:ascii="Verdana" w:hAnsi="Verdana"/>
          <w:sz w:val="18"/>
          <w:szCs w:val="18"/>
        </w:rPr>
        <w:t>20</w:t>
      </w:r>
      <w:r w:rsidR="00A853AE" w:rsidRPr="00EC51C2">
        <w:rPr>
          <w:rFonts w:ascii="Verdana" w:hAnsi="Verdana"/>
          <w:sz w:val="18"/>
          <w:szCs w:val="18"/>
        </w:rPr>
        <w:t>2</w:t>
      </w:r>
      <w:r w:rsidR="00CB72C0">
        <w:rPr>
          <w:rFonts w:ascii="Verdana" w:hAnsi="Verdana"/>
          <w:sz w:val="18"/>
          <w:szCs w:val="18"/>
        </w:rPr>
        <w:t>1</w:t>
      </w:r>
      <w:r w:rsidR="00DF3555" w:rsidRPr="00EC51C2">
        <w:rPr>
          <w:rFonts w:ascii="Verdana" w:hAnsi="Verdana"/>
          <w:sz w:val="18"/>
          <w:szCs w:val="18"/>
        </w:rPr>
        <w:t xml:space="preserve"> </w:t>
      </w:r>
      <w:r w:rsidR="00E70BD4" w:rsidRPr="00EC51C2">
        <w:rPr>
          <w:rFonts w:ascii="Verdana" w:hAnsi="Verdana"/>
          <w:sz w:val="18"/>
          <w:szCs w:val="18"/>
        </w:rPr>
        <w:t>ten opzichte van</w:t>
      </w:r>
      <w:r w:rsidR="00DF3555" w:rsidRPr="00EC51C2">
        <w:rPr>
          <w:rFonts w:ascii="Verdana" w:hAnsi="Verdana"/>
          <w:sz w:val="18"/>
          <w:szCs w:val="18"/>
        </w:rPr>
        <w:t xml:space="preserve"> 2018</w:t>
      </w:r>
      <w:r w:rsidR="00E70BD4" w:rsidRPr="00EC51C2">
        <w:rPr>
          <w:rFonts w:ascii="Verdana" w:hAnsi="Verdana"/>
          <w:sz w:val="18"/>
          <w:szCs w:val="18"/>
        </w:rPr>
        <w:t xml:space="preserve"> gehanteerd</w:t>
      </w:r>
      <w:r w:rsidR="00DF3555" w:rsidRPr="00EC51C2">
        <w:rPr>
          <w:rFonts w:ascii="Verdana" w:hAnsi="Verdana"/>
          <w:sz w:val="18"/>
          <w:szCs w:val="18"/>
        </w:rPr>
        <w:t xml:space="preserve">. </w:t>
      </w:r>
    </w:p>
    <w:p w14:paraId="2BC31E5F" w14:textId="77777777" w:rsidR="0081789E" w:rsidRPr="00EC51C2" w:rsidRDefault="00E70BD4" w:rsidP="00113B6D">
      <w:pPr>
        <w:pStyle w:val="Lijstalinea"/>
        <w:numPr>
          <w:ilvl w:val="0"/>
          <w:numId w:val="18"/>
        </w:numPr>
        <w:rPr>
          <w:rFonts w:ascii="Verdana" w:hAnsi="Verdana"/>
          <w:sz w:val="18"/>
          <w:szCs w:val="18"/>
        </w:rPr>
      </w:pPr>
      <w:r w:rsidRPr="00EC51C2">
        <w:rPr>
          <w:rFonts w:ascii="Verdana" w:hAnsi="Verdana"/>
          <w:sz w:val="18"/>
          <w:szCs w:val="18"/>
        </w:rPr>
        <w:t>Het model is</w:t>
      </w:r>
      <w:r w:rsidR="00F8567E" w:rsidRPr="00EC51C2">
        <w:rPr>
          <w:rFonts w:ascii="Verdana" w:hAnsi="Verdana"/>
          <w:sz w:val="18"/>
          <w:szCs w:val="18"/>
        </w:rPr>
        <w:t xml:space="preserve"> van belang </w:t>
      </w:r>
      <w:r w:rsidR="00C9298A" w:rsidRPr="00EC51C2">
        <w:rPr>
          <w:rFonts w:ascii="Verdana" w:hAnsi="Verdana"/>
          <w:sz w:val="18"/>
          <w:szCs w:val="18"/>
        </w:rPr>
        <w:t xml:space="preserve">voor de begroting, </w:t>
      </w:r>
      <w:r w:rsidR="00F8567E" w:rsidRPr="00EC51C2">
        <w:rPr>
          <w:rFonts w:ascii="Verdana" w:hAnsi="Verdana"/>
          <w:sz w:val="18"/>
          <w:szCs w:val="18"/>
        </w:rPr>
        <w:t xml:space="preserve">de </w:t>
      </w:r>
      <w:r w:rsidR="00C9298A" w:rsidRPr="00EC51C2">
        <w:rPr>
          <w:rFonts w:ascii="Verdana" w:hAnsi="Verdana"/>
          <w:sz w:val="18"/>
          <w:szCs w:val="18"/>
        </w:rPr>
        <w:t xml:space="preserve">tussentijdse </w:t>
      </w:r>
      <w:r w:rsidR="00FE39BD" w:rsidRPr="00EC51C2">
        <w:rPr>
          <w:rFonts w:ascii="Verdana" w:hAnsi="Verdana"/>
          <w:sz w:val="18"/>
          <w:szCs w:val="18"/>
        </w:rPr>
        <w:t xml:space="preserve">realisatie </w:t>
      </w:r>
      <w:r w:rsidR="00C9298A" w:rsidRPr="00EC51C2">
        <w:rPr>
          <w:rFonts w:ascii="Verdana" w:hAnsi="Verdana"/>
          <w:sz w:val="18"/>
          <w:szCs w:val="18"/>
        </w:rPr>
        <w:t xml:space="preserve">op basis waarvan het voorschot aangepast wordt </w:t>
      </w:r>
      <w:r w:rsidR="00AF1BA6" w:rsidRPr="00EC51C2">
        <w:rPr>
          <w:rFonts w:ascii="Verdana" w:hAnsi="Verdana"/>
          <w:sz w:val="18"/>
          <w:szCs w:val="18"/>
        </w:rPr>
        <w:t>en de verantwoording na afloop van het jaar.</w:t>
      </w:r>
      <w:r w:rsidRPr="00EC51C2">
        <w:rPr>
          <w:rFonts w:ascii="Verdana" w:hAnsi="Verdana"/>
          <w:sz w:val="18"/>
          <w:szCs w:val="18"/>
        </w:rPr>
        <w:t xml:space="preserve"> De opzet van h</w:t>
      </w:r>
      <w:r w:rsidR="00D561B7" w:rsidRPr="00EC51C2">
        <w:rPr>
          <w:rFonts w:ascii="Verdana" w:hAnsi="Verdana"/>
          <w:sz w:val="18"/>
          <w:szCs w:val="18"/>
        </w:rPr>
        <w:t xml:space="preserve">et model sluit aan bij de informatieverplichtingen uit het kwaliteitskader omtrent de personeelssamenstelling. Daarom onderscheidt het model verschillende kwalificatieniveaus (niveau 1 t/m 6, behandelaren en overig zorgpersoneel) en worden leerlingen apart </w:t>
      </w:r>
      <w:r w:rsidR="000D372B" w:rsidRPr="00EC51C2">
        <w:rPr>
          <w:rFonts w:ascii="Verdana" w:hAnsi="Verdana"/>
          <w:sz w:val="18"/>
          <w:szCs w:val="18"/>
        </w:rPr>
        <w:t xml:space="preserve">omschreven. </w:t>
      </w:r>
    </w:p>
    <w:p w14:paraId="7770DEC0" w14:textId="77777777" w:rsidR="00D949DB" w:rsidRPr="00EC51C2" w:rsidRDefault="00D949DB" w:rsidP="00113B6D">
      <w:pPr>
        <w:pStyle w:val="Lijstalinea"/>
        <w:numPr>
          <w:ilvl w:val="0"/>
          <w:numId w:val="18"/>
        </w:numPr>
        <w:rPr>
          <w:rFonts w:ascii="Verdana" w:hAnsi="Verdana"/>
          <w:sz w:val="18"/>
          <w:szCs w:val="18"/>
        </w:rPr>
      </w:pPr>
      <w:r w:rsidRPr="00EC51C2">
        <w:rPr>
          <w:rFonts w:ascii="Verdana" w:hAnsi="Verdana"/>
          <w:sz w:val="18"/>
          <w:szCs w:val="18"/>
        </w:rPr>
        <w:t xml:space="preserve">De gegevens uit de begroting, de gegevens voor de herschikking (peildatum 1 juli) en de gegevens voor de verantwoording vormen tevens de basis voor de monitoring van de inzet van het kwaliteitsbudget op regionaal en landelijk niveau door het ministerie van VWS. </w:t>
      </w:r>
      <w:r w:rsidR="00B465D6" w:rsidRPr="00EC51C2">
        <w:rPr>
          <w:rFonts w:ascii="Verdana" w:hAnsi="Verdana"/>
          <w:sz w:val="18"/>
          <w:szCs w:val="18"/>
        </w:rPr>
        <w:t>Da</w:t>
      </w:r>
      <w:r w:rsidR="00033120" w:rsidRPr="00EC51C2">
        <w:rPr>
          <w:rFonts w:ascii="Verdana" w:hAnsi="Verdana"/>
          <w:sz w:val="18"/>
          <w:szCs w:val="18"/>
        </w:rPr>
        <w:t>arme</w:t>
      </w:r>
      <w:r w:rsidRPr="00EC51C2">
        <w:rPr>
          <w:rFonts w:ascii="Verdana" w:hAnsi="Verdana"/>
          <w:sz w:val="18"/>
          <w:szCs w:val="18"/>
        </w:rPr>
        <w:t>e worden extra administratieve lasten van een separate uitvraag voor monitoring voorkomen.</w:t>
      </w:r>
    </w:p>
    <w:p w14:paraId="401E6D74" w14:textId="1769CE60" w:rsidR="00033120" w:rsidRPr="00EC51C2" w:rsidRDefault="00A853AE" w:rsidP="00A853AE">
      <w:pPr>
        <w:pStyle w:val="Lijstalinea"/>
        <w:numPr>
          <w:ilvl w:val="0"/>
          <w:numId w:val="18"/>
        </w:numPr>
        <w:rPr>
          <w:rFonts w:ascii="Verdana" w:hAnsi="Verdana"/>
          <w:sz w:val="18"/>
          <w:szCs w:val="18"/>
        </w:rPr>
      </w:pPr>
      <w:r w:rsidRPr="00EC51C2">
        <w:rPr>
          <w:rFonts w:ascii="Verdana" w:hAnsi="Verdana"/>
          <w:sz w:val="18"/>
          <w:szCs w:val="18"/>
        </w:rPr>
        <w:t xml:space="preserve">Er is </w:t>
      </w:r>
      <w:r w:rsidR="00033120" w:rsidRPr="00EC51C2">
        <w:rPr>
          <w:rFonts w:ascii="Verdana" w:hAnsi="Verdana"/>
          <w:sz w:val="18"/>
          <w:szCs w:val="18"/>
        </w:rPr>
        <w:t xml:space="preserve">een mogelijkheid opgenomen om gemotiveerd af te wijken. Het is hierbij van belang dat u een toelichting en onderbouwing opneemt, zodat </w:t>
      </w:r>
      <w:r w:rsidR="00113B6D" w:rsidRPr="00EC51C2">
        <w:rPr>
          <w:rFonts w:ascii="Verdana" w:hAnsi="Verdana"/>
          <w:sz w:val="18"/>
          <w:szCs w:val="18"/>
        </w:rPr>
        <w:t xml:space="preserve">een </w:t>
      </w:r>
      <w:r w:rsidR="00033120" w:rsidRPr="00EC51C2">
        <w:rPr>
          <w:rFonts w:ascii="Verdana" w:hAnsi="Verdana"/>
          <w:sz w:val="18"/>
          <w:szCs w:val="18"/>
        </w:rPr>
        <w:t>beoordeling plaats kan vinden.</w:t>
      </w:r>
      <w:r w:rsidR="003A18B8" w:rsidRPr="00EC51C2">
        <w:rPr>
          <w:rFonts w:ascii="Verdana" w:hAnsi="Verdana"/>
          <w:sz w:val="18"/>
          <w:szCs w:val="18"/>
        </w:rPr>
        <w:t xml:space="preserve"> </w:t>
      </w:r>
      <w:r w:rsidRPr="00EC51C2">
        <w:rPr>
          <w:rFonts w:ascii="Verdana" w:hAnsi="Verdana"/>
          <w:sz w:val="18"/>
          <w:szCs w:val="18"/>
        </w:rPr>
        <w:t>Zie hiervoor paragraaf 4.2 van</w:t>
      </w:r>
      <w:r w:rsidR="00CB72C0" w:rsidRPr="00CB72C0">
        <w:rPr>
          <w:rFonts w:ascii="Verdana" w:hAnsi="Verdana"/>
          <w:sz w:val="18"/>
          <w:szCs w:val="18"/>
        </w:rPr>
        <w:t xml:space="preserve"> </w:t>
      </w:r>
      <w:r w:rsidR="00CB72C0">
        <w:rPr>
          <w:rFonts w:ascii="Verdana" w:hAnsi="Verdana"/>
          <w:sz w:val="18"/>
          <w:szCs w:val="18"/>
        </w:rPr>
        <w:t>het ‘</w:t>
      </w:r>
      <w:r w:rsidR="00CB72C0" w:rsidRPr="00AB3B35">
        <w:rPr>
          <w:rFonts w:ascii="Verdana" w:hAnsi="Verdana"/>
          <w:sz w:val="18"/>
          <w:szCs w:val="18"/>
        </w:rPr>
        <w:t>Inkoopkader langdurige zorg 2021-2023</w:t>
      </w:r>
      <w:r w:rsidR="001A1833">
        <w:rPr>
          <w:rFonts w:ascii="Verdana" w:hAnsi="Verdana"/>
          <w:sz w:val="18"/>
          <w:szCs w:val="18"/>
        </w:rPr>
        <w:t>’</w:t>
      </w:r>
      <w:r w:rsidR="001A1833" w:rsidRPr="00AB3B35">
        <w:rPr>
          <w:rFonts w:ascii="Verdana" w:hAnsi="Verdana"/>
          <w:sz w:val="18"/>
          <w:szCs w:val="18"/>
        </w:rPr>
        <w:t>.</w:t>
      </w:r>
    </w:p>
    <w:p w14:paraId="6A59BECC" w14:textId="1465A861" w:rsidR="00A853AE" w:rsidRPr="00EC51C2" w:rsidRDefault="00A853AE" w:rsidP="003F0CB6">
      <w:pPr>
        <w:pStyle w:val="Lijstalinea"/>
        <w:numPr>
          <w:ilvl w:val="0"/>
          <w:numId w:val="18"/>
        </w:numPr>
        <w:rPr>
          <w:rFonts w:ascii="Verdana" w:hAnsi="Verdana"/>
          <w:sz w:val="18"/>
          <w:szCs w:val="18"/>
        </w:rPr>
      </w:pPr>
      <w:r w:rsidRPr="00EC51C2">
        <w:rPr>
          <w:rFonts w:ascii="Verdana" w:hAnsi="Verdana"/>
          <w:sz w:val="18"/>
          <w:szCs w:val="18"/>
        </w:rPr>
        <w:t xml:space="preserve">ZN heeft met </w:t>
      </w:r>
      <w:proofErr w:type="spellStart"/>
      <w:r w:rsidRPr="00EC51C2">
        <w:rPr>
          <w:rFonts w:ascii="Verdana" w:hAnsi="Verdana"/>
          <w:sz w:val="18"/>
          <w:szCs w:val="18"/>
        </w:rPr>
        <w:t>Vektis</w:t>
      </w:r>
      <w:proofErr w:type="spellEnd"/>
      <w:r w:rsidRPr="00EC51C2">
        <w:rPr>
          <w:rFonts w:ascii="Verdana" w:hAnsi="Verdana"/>
          <w:sz w:val="18"/>
          <w:szCs w:val="18"/>
        </w:rPr>
        <w:t xml:space="preserve"> een </w:t>
      </w:r>
      <w:r w:rsidR="00586FBB" w:rsidRPr="00EC51C2">
        <w:rPr>
          <w:rFonts w:ascii="Verdana" w:hAnsi="Verdana"/>
          <w:sz w:val="18"/>
          <w:szCs w:val="18"/>
        </w:rPr>
        <w:t>P</w:t>
      </w:r>
      <w:r w:rsidRPr="00EC51C2">
        <w:rPr>
          <w:rFonts w:ascii="Verdana" w:hAnsi="Verdana"/>
          <w:sz w:val="18"/>
          <w:szCs w:val="18"/>
        </w:rPr>
        <w:t xml:space="preserve">ortaal </w:t>
      </w:r>
      <w:r w:rsidR="00586FBB" w:rsidRPr="00EC51C2">
        <w:rPr>
          <w:rFonts w:ascii="Verdana" w:hAnsi="Verdana"/>
          <w:sz w:val="18"/>
          <w:szCs w:val="18"/>
        </w:rPr>
        <w:t xml:space="preserve">Kwaliteitsbudget Verpleeghuiszorg </w:t>
      </w:r>
      <w:r w:rsidRPr="00EC51C2">
        <w:rPr>
          <w:rFonts w:ascii="Verdana" w:hAnsi="Verdana"/>
          <w:sz w:val="18"/>
          <w:szCs w:val="18"/>
        </w:rPr>
        <w:t xml:space="preserve">ontwikkeld. </w:t>
      </w:r>
      <w:r w:rsidR="003F6BB3" w:rsidRPr="00EC51C2">
        <w:rPr>
          <w:rFonts w:ascii="Verdana" w:hAnsi="Verdana"/>
          <w:sz w:val="18"/>
          <w:szCs w:val="18"/>
        </w:rPr>
        <w:t>D</w:t>
      </w:r>
      <w:r w:rsidR="00353A83" w:rsidRPr="00EC51C2">
        <w:rPr>
          <w:rFonts w:ascii="Verdana" w:hAnsi="Verdana"/>
          <w:sz w:val="18"/>
          <w:szCs w:val="18"/>
        </w:rPr>
        <w:t>it</w:t>
      </w:r>
      <w:r w:rsidR="00586FBB" w:rsidRPr="00EC51C2">
        <w:rPr>
          <w:rFonts w:ascii="Verdana" w:hAnsi="Verdana"/>
          <w:sz w:val="18"/>
          <w:szCs w:val="18"/>
        </w:rPr>
        <w:t xml:space="preserve"> Portaal dien</w:t>
      </w:r>
      <w:r w:rsidR="00DE114D" w:rsidRPr="00EC51C2">
        <w:rPr>
          <w:rFonts w:ascii="Verdana" w:hAnsi="Verdana"/>
          <w:sz w:val="18"/>
          <w:szCs w:val="18"/>
        </w:rPr>
        <w:t>en zorgaanbieders</w:t>
      </w:r>
      <w:r w:rsidR="00586FBB" w:rsidRPr="00EC51C2">
        <w:rPr>
          <w:rFonts w:ascii="Verdana" w:hAnsi="Verdana"/>
          <w:sz w:val="18"/>
          <w:szCs w:val="18"/>
        </w:rPr>
        <w:t xml:space="preserve"> </w:t>
      </w:r>
      <w:r w:rsidR="003F6BB3" w:rsidRPr="00EC51C2">
        <w:rPr>
          <w:rFonts w:ascii="Verdana" w:hAnsi="Verdana"/>
          <w:sz w:val="18"/>
          <w:szCs w:val="18"/>
        </w:rPr>
        <w:t xml:space="preserve">te gebruiken voor </w:t>
      </w:r>
      <w:r w:rsidR="00586FBB" w:rsidRPr="00EC51C2">
        <w:rPr>
          <w:rFonts w:ascii="Verdana" w:hAnsi="Verdana"/>
          <w:sz w:val="18"/>
          <w:szCs w:val="18"/>
        </w:rPr>
        <w:t>de aanvraag en verantwoording van het kwaliteitsbudget</w:t>
      </w:r>
      <w:r w:rsidR="003F6BB3" w:rsidRPr="00EC51C2">
        <w:rPr>
          <w:rFonts w:ascii="Verdana" w:hAnsi="Verdana"/>
          <w:sz w:val="18"/>
          <w:szCs w:val="18"/>
        </w:rPr>
        <w:t>.</w:t>
      </w:r>
      <w:r w:rsidR="00DE114D" w:rsidRPr="00EC51C2">
        <w:rPr>
          <w:rFonts w:ascii="Verdana" w:hAnsi="Verdana"/>
          <w:sz w:val="18"/>
          <w:szCs w:val="18"/>
        </w:rPr>
        <w:t xml:space="preserve"> </w:t>
      </w:r>
      <w:r w:rsidRPr="00EC51C2">
        <w:rPr>
          <w:rFonts w:ascii="Verdana" w:hAnsi="Verdana"/>
          <w:sz w:val="18"/>
          <w:szCs w:val="18"/>
        </w:rPr>
        <w:t>Het portaal is aan de hand van de in dit document beschreven uitgangspunten vormgegeven</w:t>
      </w:r>
      <w:r w:rsidR="00B25518" w:rsidRPr="00EC51C2">
        <w:rPr>
          <w:rFonts w:ascii="Verdana" w:hAnsi="Verdana"/>
          <w:sz w:val="18"/>
          <w:szCs w:val="18"/>
        </w:rPr>
        <w:t xml:space="preserve">. </w:t>
      </w:r>
      <w:r w:rsidR="0027661B" w:rsidRPr="00EC51C2">
        <w:rPr>
          <w:rFonts w:ascii="Verdana" w:hAnsi="Verdana"/>
          <w:sz w:val="18"/>
          <w:szCs w:val="18"/>
        </w:rPr>
        <w:t xml:space="preserve"> </w:t>
      </w:r>
      <w:r w:rsidRPr="00EC51C2">
        <w:rPr>
          <w:rFonts w:ascii="Verdana" w:hAnsi="Verdana"/>
          <w:sz w:val="18"/>
          <w:szCs w:val="18"/>
        </w:rPr>
        <w:t xml:space="preserve">Vanuit </w:t>
      </w:r>
      <w:proofErr w:type="spellStart"/>
      <w:r w:rsidRPr="00EC51C2">
        <w:rPr>
          <w:rFonts w:ascii="Verdana" w:hAnsi="Verdana"/>
          <w:sz w:val="18"/>
          <w:szCs w:val="18"/>
        </w:rPr>
        <w:t>Vektis</w:t>
      </w:r>
      <w:proofErr w:type="spellEnd"/>
      <w:r w:rsidRPr="00EC51C2">
        <w:rPr>
          <w:rFonts w:ascii="Verdana" w:hAnsi="Verdana"/>
          <w:sz w:val="18"/>
          <w:szCs w:val="18"/>
        </w:rPr>
        <w:t xml:space="preserve"> wordt de informatie gedeeld met relevante stakeholders.</w:t>
      </w:r>
      <w:r w:rsidR="0027661B" w:rsidRPr="00EC51C2">
        <w:rPr>
          <w:rFonts w:ascii="Verdana" w:hAnsi="Verdana"/>
          <w:sz w:val="18"/>
          <w:szCs w:val="18"/>
        </w:rPr>
        <w:t xml:space="preserve"> </w:t>
      </w:r>
    </w:p>
    <w:p w14:paraId="7574A54F" w14:textId="77777777" w:rsidR="00813317" w:rsidRPr="00EC51C2" w:rsidRDefault="009F6B3F" w:rsidP="0027661B">
      <w:pPr>
        <w:rPr>
          <w:rFonts w:ascii="Verdana" w:hAnsi="Verdana"/>
          <w:sz w:val="18"/>
          <w:szCs w:val="18"/>
        </w:rPr>
      </w:pPr>
      <w:r w:rsidRPr="00EC51C2">
        <w:rPr>
          <w:rFonts w:ascii="Verdana" w:hAnsi="Verdana"/>
          <w:sz w:val="18"/>
          <w:szCs w:val="18"/>
        </w:rPr>
        <w:lastRenderedPageBreak/>
        <w:t>Hierna volgt een t</w:t>
      </w:r>
      <w:r w:rsidR="00BB3CAE" w:rsidRPr="00EC51C2">
        <w:rPr>
          <w:rFonts w:ascii="Verdana" w:hAnsi="Verdana"/>
          <w:sz w:val="18"/>
          <w:szCs w:val="18"/>
        </w:rPr>
        <w:t xml:space="preserve">oelichting </w:t>
      </w:r>
      <w:r w:rsidRPr="00EC51C2">
        <w:rPr>
          <w:rFonts w:ascii="Verdana" w:hAnsi="Verdana"/>
          <w:sz w:val="18"/>
          <w:szCs w:val="18"/>
        </w:rPr>
        <w:t xml:space="preserve">op de gevraagde input voor de </w:t>
      </w:r>
      <w:r w:rsidR="00D92F3A" w:rsidRPr="00EC51C2">
        <w:rPr>
          <w:rFonts w:ascii="Verdana" w:hAnsi="Verdana"/>
          <w:sz w:val="18"/>
          <w:szCs w:val="18"/>
        </w:rPr>
        <w:t>zes</w:t>
      </w:r>
      <w:r w:rsidRPr="00EC51C2">
        <w:rPr>
          <w:rFonts w:ascii="Verdana" w:hAnsi="Verdana"/>
          <w:sz w:val="18"/>
          <w:szCs w:val="18"/>
        </w:rPr>
        <w:t xml:space="preserve"> onderscheiden stappen en de resulterende modelbegroting</w:t>
      </w:r>
      <w:r w:rsidR="00BB3CAE" w:rsidRPr="00EC51C2">
        <w:rPr>
          <w:rFonts w:ascii="Verdana" w:hAnsi="Verdana"/>
          <w:sz w:val="18"/>
          <w:szCs w:val="18"/>
        </w:rPr>
        <w:t>.</w:t>
      </w:r>
      <w:r w:rsidR="00A36DE3" w:rsidRPr="00EC51C2">
        <w:rPr>
          <w:rFonts w:ascii="Verdana" w:hAnsi="Verdana"/>
          <w:sz w:val="18"/>
          <w:szCs w:val="18"/>
        </w:rPr>
        <w:t xml:space="preserve"> </w:t>
      </w:r>
    </w:p>
    <w:p w14:paraId="16F6C07D" w14:textId="77777777" w:rsidR="00EC51C2" w:rsidRPr="00EC51C2" w:rsidRDefault="00EC51C2" w:rsidP="0027661B">
      <w:pPr>
        <w:spacing w:after="0"/>
        <w:rPr>
          <w:rFonts w:ascii="Verdana" w:hAnsi="Verdana"/>
          <w:b/>
          <w:sz w:val="18"/>
          <w:szCs w:val="18"/>
        </w:rPr>
      </w:pPr>
    </w:p>
    <w:tbl>
      <w:tblPr>
        <w:tblStyle w:val="Tabelraster"/>
        <w:tblW w:w="0" w:type="auto"/>
        <w:shd w:val="clear" w:color="auto" w:fill="9BBB59" w:themeFill="accent3"/>
        <w:tblLook w:val="04A0" w:firstRow="1" w:lastRow="0" w:firstColumn="1" w:lastColumn="0" w:noHBand="0" w:noVBand="1"/>
      </w:tblPr>
      <w:tblGrid>
        <w:gridCol w:w="1091"/>
        <w:gridCol w:w="7971"/>
      </w:tblGrid>
      <w:tr w:rsidR="002162F7" w:rsidRPr="00EC51C2" w14:paraId="660D9709" w14:textId="77777777" w:rsidTr="002162F7">
        <w:trPr>
          <w:trHeight w:val="506"/>
        </w:trPr>
        <w:tc>
          <w:tcPr>
            <w:tcW w:w="1101" w:type="dxa"/>
            <w:shd w:val="clear" w:color="auto" w:fill="9BBB59" w:themeFill="accent3"/>
            <w:vAlign w:val="center"/>
          </w:tcPr>
          <w:p w14:paraId="13432765" w14:textId="77777777" w:rsidR="00FA5301" w:rsidRPr="00EC51C2" w:rsidRDefault="006E15DD">
            <w:pPr>
              <w:rPr>
                <w:rFonts w:ascii="Verdana" w:hAnsi="Verdana"/>
                <w:b/>
                <w:sz w:val="18"/>
                <w:szCs w:val="18"/>
              </w:rPr>
            </w:pPr>
            <w:r w:rsidRPr="00EC51C2">
              <w:rPr>
                <w:rFonts w:ascii="Verdana" w:hAnsi="Verdana"/>
                <w:b/>
                <w:sz w:val="18"/>
                <w:szCs w:val="18"/>
              </w:rPr>
              <w:t>Stap 1</w:t>
            </w:r>
          </w:p>
        </w:tc>
        <w:tc>
          <w:tcPr>
            <w:tcW w:w="8111" w:type="dxa"/>
            <w:shd w:val="clear" w:color="auto" w:fill="9BBB59" w:themeFill="accent3"/>
            <w:vAlign w:val="center"/>
          </w:tcPr>
          <w:p w14:paraId="124B1913" w14:textId="77777777" w:rsidR="00FA5301" w:rsidRPr="00EC51C2" w:rsidRDefault="006E15DD">
            <w:pPr>
              <w:rPr>
                <w:rFonts w:ascii="Verdana" w:hAnsi="Verdana"/>
                <w:sz w:val="18"/>
                <w:szCs w:val="18"/>
              </w:rPr>
            </w:pPr>
            <w:r w:rsidRPr="00EC51C2">
              <w:rPr>
                <w:rFonts w:ascii="Verdana" w:hAnsi="Verdana"/>
                <w:sz w:val="18"/>
                <w:szCs w:val="18"/>
              </w:rPr>
              <w:t xml:space="preserve">Aantal </w:t>
            </w:r>
            <w:r w:rsidR="00A03CC7" w:rsidRPr="00EC51C2">
              <w:rPr>
                <w:rFonts w:ascii="Verdana" w:hAnsi="Verdana"/>
                <w:sz w:val="18"/>
                <w:szCs w:val="18"/>
              </w:rPr>
              <w:t xml:space="preserve">FTE </w:t>
            </w:r>
            <w:r w:rsidRPr="00EC51C2">
              <w:rPr>
                <w:rFonts w:ascii="Verdana" w:hAnsi="Verdana"/>
                <w:sz w:val="18"/>
                <w:szCs w:val="18"/>
              </w:rPr>
              <w:t>verpleeghuispersoneel in loondienst naar categorieën</w:t>
            </w:r>
          </w:p>
        </w:tc>
      </w:tr>
    </w:tbl>
    <w:p w14:paraId="326829C2" w14:textId="77777777" w:rsidR="00EC51C2" w:rsidRPr="00EC51C2" w:rsidRDefault="00EC51C2" w:rsidP="00EC51C2">
      <w:pPr>
        <w:spacing w:after="0"/>
        <w:rPr>
          <w:rFonts w:ascii="Verdana" w:hAnsi="Verdana"/>
          <w:sz w:val="18"/>
          <w:szCs w:val="18"/>
        </w:rPr>
      </w:pPr>
    </w:p>
    <w:p w14:paraId="6116CA1F" w14:textId="2789FB60" w:rsidR="00D949DB" w:rsidRPr="00EC51C2" w:rsidRDefault="00BB3CAE">
      <w:pPr>
        <w:rPr>
          <w:rFonts w:ascii="Verdana" w:hAnsi="Verdana"/>
          <w:sz w:val="18"/>
          <w:szCs w:val="18"/>
        </w:rPr>
      </w:pPr>
      <w:r w:rsidRPr="00EC51C2">
        <w:rPr>
          <w:rFonts w:ascii="Verdana" w:hAnsi="Verdana"/>
          <w:sz w:val="18"/>
          <w:szCs w:val="18"/>
        </w:rPr>
        <w:t>In tabel 1</w:t>
      </w:r>
      <w:r w:rsidR="00D8741E" w:rsidRPr="00EC51C2">
        <w:rPr>
          <w:rFonts w:ascii="Verdana" w:hAnsi="Verdana"/>
          <w:sz w:val="18"/>
          <w:szCs w:val="18"/>
        </w:rPr>
        <w:t>a</w:t>
      </w:r>
      <w:r w:rsidRPr="00EC51C2">
        <w:rPr>
          <w:rFonts w:ascii="Verdana" w:hAnsi="Verdana"/>
          <w:sz w:val="18"/>
          <w:szCs w:val="18"/>
        </w:rPr>
        <w:t xml:space="preserve"> geeft u op hoeveel </w:t>
      </w:r>
      <w:r w:rsidR="00A03CC7" w:rsidRPr="00EC51C2">
        <w:rPr>
          <w:rFonts w:ascii="Verdana" w:hAnsi="Verdana"/>
          <w:sz w:val="18"/>
          <w:szCs w:val="18"/>
        </w:rPr>
        <w:t xml:space="preserve">FTE </w:t>
      </w:r>
      <w:r w:rsidRPr="00EC51C2">
        <w:rPr>
          <w:rFonts w:ascii="Verdana" w:hAnsi="Verdana"/>
          <w:sz w:val="18"/>
          <w:szCs w:val="18"/>
        </w:rPr>
        <w:t xml:space="preserve">zorgpersoneel u </w:t>
      </w:r>
      <w:r w:rsidR="00A10C36" w:rsidRPr="00EC51C2">
        <w:rPr>
          <w:rFonts w:ascii="Verdana" w:hAnsi="Verdana"/>
          <w:sz w:val="18"/>
          <w:szCs w:val="18"/>
        </w:rPr>
        <w:t xml:space="preserve">volgens uw begroting per jaar </w:t>
      </w:r>
      <w:r w:rsidRPr="00EC51C2">
        <w:rPr>
          <w:rFonts w:ascii="Verdana" w:hAnsi="Verdana"/>
          <w:sz w:val="18"/>
          <w:szCs w:val="18"/>
        </w:rPr>
        <w:t xml:space="preserve">in loondienst </w:t>
      </w:r>
      <w:r w:rsidR="00A10C36" w:rsidRPr="00EC51C2">
        <w:rPr>
          <w:rFonts w:ascii="Verdana" w:hAnsi="Verdana"/>
          <w:sz w:val="18"/>
          <w:szCs w:val="18"/>
        </w:rPr>
        <w:t>verwacht te hebben</w:t>
      </w:r>
      <w:r w:rsidRPr="00EC51C2">
        <w:rPr>
          <w:rFonts w:ascii="Verdana" w:hAnsi="Verdana"/>
          <w:sz w:val="18"/>
          <w:szCs w:val="18"/>
        </w:rPr>
        <w:t xml:space="preserve"> voor verpleeghuiszorg. </w:t>
      </w:r>
      <w:r w:rsidR="00D6288A" w:rsidRPr="00EC51C2">
        <w:rPr>
          <w:rFonts w:ascii="Verdana" w:hAnsi="Verdana"/>
          <w:sz w:val="18"/>
          <w:szCs w:val="18"/>
        </w:rPr>
        <w:t xml:space="preserve">In </w:t>
      </w:r>
      <w:r w:rsidR="00DD701E">
        <w:rPr>
          <w:rFonts w:ascii="Verdana" w:hAnsi="Verdana"/>
          <w:sz w:val="18"/>
          <w:szCs w:val="18"/>
        </w:rPr>
        <w:t>het ‘</w:t>
      </w:r>
      <w:r w:rsidR="00DD701E" w:rsidRPr="00AB3B35">
        <w:rPr>
          <w:rFonts w:ascii="Verdana" w:hAnsi="Verdana"/>
          <w:sz w:val="18"/>
          <w:szCs w:val="18"/>
        </w:rPr>
        <w:t>Inkoopkader langdurige zorg 2021-2023</w:t>
      </w:r>
      <w:r w:rsidR="006C58DE">
        <w:rPr>
          <w:rFonts w:ascii="Verdana" w:hAnsi="Verdana"/>
          <w:sz w:val="18"/>
          <w:szCs w:val="18"/>
        </w:rPr>
        <w:t>’</w:t>
      </w:r>
      <w:r w:rsidR="006C58DE" w:rsidRPr="00AB3B35">
        <w:rPr>
          <w:rFonts w:ascii="Verdana" w:hAnsi="Verdana"/>
          <w:sz w:val="18"/>
          <w:szCs w:val="18"/>
        </w:rPr>
        <w:t xml:space="preserve"> </w:t>
      </w:r>
      <w:r w:rsidR="006C58DE" w:rsidRPr="00EC51C2">
        <w:rPr>
          <w:rFonts w:ascii="Verdana" w:hAnsi="Verdana"/>
          <w:sz w:val="18"/>
          <w:szCs w:val="18"/>
        </w:rPr>
        <w:t>is</w:t>
      </w:r>
      <w:r w:rsidR="00D6288A" w:rsidRPr="00EC51C2">
        <w:rPr>
          <w:rFonts w:ascii="Verdana" w:hAnsi="Verdana"/>
          <w:sz w:val="18"/>
          <w:szCs w:val="18"/>
        </w:rPr>
        <w:t xml:space="preserve"> in paragraaf 4</w:t>
      </w:r>
      <w:r w:rsidR="00D37DD8" w:rsidRPr="00EC51C2">
        <w:rPr>
          <w:rFonts w:ascii="Verdana" w:hAnsi="Verdana"/>
          <w:sz w:val="18"/>
          <w:szCs w:val="18"/>
        </w:rPr>
        <w:t>.2.4 is een definiëring van zorgpersoneel opgenomen</w:t>
      </w:r>
      <w:r w:rsidR="00A853AE" w:rsidRPr="00EC51C2">
        <w:rPr>
          <w:rFonts w:ascii="Verdana" w:hAnsi="Verdana"/>
          <w:sz w:val="18"/>
          <w:szCs w:val="18"/>
        </w:rPr>
        <w:t>.</w:t>
      </w:r>
      <w:r w:rsidR="00D37DD8" w:rsidRPr="00EC51C2">
        <w:rPr>
          <w:rFonts w:ascii="Verdana" w:hAnsi="Verdana"/>
          <w:sz w:val="18"/>
          <w:szCs w:val="18"/>
        </w:rPr>
        <w:t xml:space="preserve"> </w:t>
      </w:r>
      <w:r w:rsidR="00D33F6E" w:rsidRPr="00EC51C2">
        <w:rPr>
          <w:rFonts w:ascii="Verdana" w:hAnsi="Verdana"/>
          <w:sz w:val="18"/>
          <w:szCs w:val="18"/>
        </w:rPr>
        <w:t xml:space="preserve">Voor de berekening van het zorgpersoneel dat u vanuit de 85% mag financieren gaat het om zorgpersoneel die direct werken met klanten </w:t>
      </w:r>
      <w:r w:rsidR="00E44964" w:rsidRPr="00EC51C2">
        <w:rPr>
          <w:rFonts w:ascii="Verdana" w:hAnsi="Verdana"/>
          <w:sz w:val="18"/>
          <w:szCs w:val="18"/>
        </w:rPr>
        <w:t>met een indicatie 4-10 VV met als levering</w:t>
      </w:r>
      <w:r w:rsidR="000A1F30" w:rsidRPr="00EC51C2">
        <w:rPr>
          <w:rFonts w:ascii="Verdana" w:hAnsi="Verdana"/>
          <w:sz w:val="18"/>
          <w:szCs w:val="18"/>
        </w:rPr>
        <w:t>s</w:t>
      </w:r>
      <w:r w:rsidR="00E44964" w:rsidRPr="00EC51C2">
        <w:rPr>
          <w:rFonts w:ascii="Verdana" w:hAnsi="Verdana"/>
          <w:sz w:val="18"/>
          <w:szCs w:val="18"/>
        </w:rPr>
        <w:t xml:space="preserve">vorm </w:t>
      </w:r>
      <w:r w:rsidR="00D33F6E" w:rsidRPr="00EC51C2">
        <w:rPr>
          <w:rFonts w:ascii="Verdana" w:hAnsi="Verdana"/>
          <w:sz w:val="18"/>
          <w:szCs w:val="18"/>
        </w:rPr>
        <w:t xml:space="preserve">geclusterd </w:t>
      </w:r>
      <w:proofErr w:type="spellStart"/>
      <w:r w:rsidR="000A1F30" w:rsidRPr="00EC51C2">
        <w:rPr>
          <w:rFonts w:ascii="Verdana" w:hAnsi="Verdana"/>
          <w:sz w:val="18"/>
          <w:szCs w:val="18"/>
        </w:rPr>
        <w:t>v</w:t>
      </w:r>
      <w:r w:rsidR="00E44964" w:rsidRPr="00EC51C2">
        <w:rPr>
          <w:rFonts w:ascii="Verdana" w:hAnsi="Verdana"/>
          <w:sz w:val="18"/>
          <w:szCs w:val="18"/>
        </w:rPr>
        <w:t>pt</w:t>
      </w:r>
      <w:proofErr w:type="spellEnd"/>
      <w:r w:rsidR="00E44964" w:rsidRPr="00EC51C2">
        <w:rPr>
          <w:rFonts w:ascii="Verdana" w:hAnsi="Verdana"/>
          <w:sz w:val="18"/>
          <w:szCs w:val="18"/>
        </w:rPr>
        <w:t xml:space="preserve"> of </w:t>
      </w:r>
      <w:r w:rsidR="00252580" w:rsidRPr="00EC51C2">
        <w:rPr>
          <w:rFonts w:ascii="Verdana" w:hAnsi="Verdana"/>
          <w:sz w:val="18"/>
          <w:szCs w:val="18"/>
        </w:rPr>
        <w:t>verblijf in een instelling</w:t>
      </w:r>
      <w:r w:rsidR="00E44964" w:rsidRPr="00EC51C2">
        <w:rPr>
          <w:rFonts w:ascii="Verdana" w:hAnsi="Verdana"/>
          <w:sz w:val="18"/>
          <w:szCs w:val="18"/>
        </w:rPr>
        <w:t>.</w:t>
      </w:r>
      <w:r w:rsidR="00167A3B" w:rsidRPr="00EC51C2">
        <w:rPr>
          <w:rFonts w:ascii="Verdana" w:hAnsi="Verdana"/>
          <w:sz w:val="18"/>
          <w:szCs w:val="18"/>
        </w:rPr>
        <w:t xml:space="preserve"> Indien u ook nog zorg levert aan </w:t>
      </w:r>
      <w:r w:rsidR="00C81E2F">
        <w:rPr>
          <w:rFonts w:ascii="Verdana" w:hAnsi="Verdana"/>
          <w:sz w:val="18"/>
          <w:szCs w:val="18"/>
        </w:rPr>
        <w:t>klanten</w:t>
      </w:r>
      <w:r w:rsidR="00C81E2F" w:rsidRPr="00EC51C2">
        <w:rPr>
          <w:rFonts w:ascii="Verdana" w:hAnsi="Verdana"/>
          <w:sz w:val="18"/>
          <w:szCs w:val="18"/>
        </w:rPr>
        <w:t xml:space="preserve"> </w:t>
      </w:r>
      <w:r w:rsidR="00167A3B" w:rsidRPr="00EC51C2">
        <w:rPr>
          <w:rFonts w:ascii="Verdana" w:hAnsi="Verdana"/>
          <w:sz w:val="18"/>
          <w:szCs w:val="18"/>
        </w:rPr>
        <w:t xml:space="preserve">met een andere indicatie of </w:t>
      </w:r>
      <w:r w:rsidR="000A1F30" w:rsidRPr="00EC51C2">
        <w:rPr>
          <w:rFonts w:ascii="Verdana" w:hAnsi="Verdana"/>
          <w:sz w:val="18"/>
          <w:szCs w:val="18"/>
        </w:rPr>
        <w:t xml:space="preserve">leveringsvorm </w:t>
      </w:r>
      <w:r w:rsidR="00167A3B" w:rsidRPr="00EC51C2">
        <w:rPr>
          <w:rFonts w:ascii="Verdana" w:hAnsi="Verdana"/>
          <w:sz w:val="18"/>
          <w:szCs w:val="18"/>
        </w:rPr>
        <w:t>dient u het personeel naar rato (op basis van de omzet) toe</w:t>
      </w:r>
      <w:r w:rsidR="0060304C" w:rsidRPr="00EC51C2">
        <w:rPr>
          <w:rFonts w:ascii="Verdana" w:hAnsi="Verdana"/>
          <w:sz w:val="18"/>
          <w:szCs w:val="18"/>
        </w:rPr>
        <w:t xml:space="preserve"> te </w:t>
      </w:r>
      <w:r w:rsidR="00167A3B" w:rsidRPr="00EC51C2">
        <w:rPr>
          <w:rFonts w:ascii="Verdana" w:hAnsi="Verdana"/>
          <w:sz w:val="18"/>
          <w:szCs w:val="18"/>
        </w:rPr>
        <w:t xml:space="preserve">rekenen. </w:t>
      </w:r>
      <w:r w:rsidR="00A07B2B" w:rsidRPr="00EC51C2">
        <w:rPr>
          <w:rFonts w:ascii="Verdana" w:hAnsi="Verdana"/>
          <w:sz w:val="18"/>
          <w:szCs w:val="18"/>
        </w:rPr>
        <w:t>Bij flexibele of nul uren contracten verwachten wij dat u een reële inschatting maakt van het daadwerkelijke aantal FTE</w:t>
      </w:r>
      <w:r w:rsidR="0060304C" w:rsidRPr="00EC51C2">
        <w:rPr>
          <w:rFonts w:ascii="Verdana" w:hAnsi="Verdana"/>
          <w:sz w:val="18"/>
          <w:szCs w:val="18"/>
        </w:rPr>
        <w:t xml:space="preserve"> gebaseerd op omzet</w:t>
      </w:r>
      <w:r w:rsidR="00A07B2B" w:rsidRPr="00EC51C2">
        <w:rPr>
          <w:rFonts w:ascii="Verdana" w:hAnsi="Verdana"/>
          <w:sz w:val="18"/>
          <w:szCs w:val="18"/>
        </w:rPr>
        <w:t xml:space="preserve">. </w:t>
      </w:r>
    </w:p>
    <w:p w14:paraId="4254EE83" w14:textId="555E2834" w:rsidR="008C1683" w:rsidRPr="00EC51C2" w:rsidRDefault="00BB3CAE" w:rsidP="008C1683">
      <w:pPr>
        <w:pStyle w:val="Lijstalinea"/>
        <w:numPr>
          <w:ilvl w:val="0"/>
          <w:numId w:val="15"/>
        </w:numPr>
        <w:rPr>
          <w:rFonts w:ascii="Verdana" w:hAnsi="Verdana"/>
          <w:sz w:val="18"/>
          <w:szCs w:val="18"/>
        </w:rPr>
      </w:pPr>
      <w:r w:rsidRPr="00EC51C2">
        <w:rPr>
          <w:rFonts w:ascii="Verdana" w:hAnsi="Verdana"/>
          <w:sz w:val="18"/>
          <w:szCs w:val="18"/>
        </w:rPr>
        <w:t>Voor 201</w:t>
      </w:r>
      <w:r w:rsidR="00A853AE" w:rsidRPr="00EC51C2">
        <w:rPr>
          <w:rFonts w:ascii="Verdana" w:hAnsi="Verdana"/>
          <w:sz w:val="18"/>
          <w:szCs w:val="18"/>
        </w:rPr>
        <w:t>8</w:t>
      </w:r>
      <w:r w:rsidRPr="00EC51C2">
        <w:rPr>
          <w:rFonts w:ascii="Verdana" w:hAnsi="Verdana"/>
          <w:sz w:val="18"/>
          <w:szCs w:val="18"/>
        </w:rPr>
        <w:t xml:space="preserve"> </w:t>
      </w:r>
      <w:r w:rsidR="00984B99">
        <w:rPr>
          <w:rFonts w:ascii="Verdana" w:hAnsi="Verdana"/>
          <w:sz w:val="18"/>
          <w:szCs w:val="18"/>
        </w:rPr>
        <w:t xml:space="preserve">en 2019 </w:t>
      </w:r>
      <w:r w:rsidRPr="00EC51C2">
        <w:rPr>
          <w:rFonts w:ascii="Verdana" w:hAnsi="Verdana"/>
          <w:sz w:val="18"/>
          <w:szCs w:val="18"/>
        </w:rPr>
        <w:t xml:space="preserve">kunt u dus </w:t>
      </w:r>
      <w:r w:rsidR="00A10C36" w:rsidRPr="00EC51C2">
        <w:rPr>
          <w:rFonts w:ascii="Verdana" w:hAnsi="Verdana"/>
          <w:sz w:val="18"/>
          <w:szCs w:val="18"/>
        </w:rPr>
        <w:t xml:space="preserve">in </w:t>
      </w:r>
      <w:r w:rsidR="00C43B3B" w:rsidRPr="00EC51C2">
        <w:rPr>
          <w:rFonts w:ascii="Verdana" w:hAnsi="Verdana"/>
          <w:sz w:val="18"/>
          <w:szCs w:val="18"/>
        </w:rPr>
        <w:t xml:space="preserve">de </w:t>
      </w:r>
      <w:r w:rsidR="00C81F65">
        <w:rPr>
          <w:rFonts w:ascii="Verdana" w:hAnsi="Verdana"/>
          <w:sz w:val="18"/>
          <w:szCs w:val="18"/>
        </w:rPr>
        <w:t>witte</w:t>
      </w:r>
      <w:r w:rsidR="00A10C36" w:rsidRPr="00EC51C2">
        <w:rPr>
          <w:rFonts w:ascii="Verdana" w:hAnsi="Verdana"/>
          <w:sz w:val="18"/>
          <w:szCs w:val="18"/>
        </w:rPr>
        <w:t xml:space="preserve"> vakje</w:t>
      </w:r>
      <w:r w:rsidR="00C43B3B" w:rsidRPr="00EC51C2">
        <w:rPr>
          <w:rFonts w:ascii="Verdana" w:hAnsi="Verdana"/>
          <w:sz w:val="18"/>
          <w:szCs w:val="18"/>
        </w:rPr>
        <w:t>s</w:t>
      </w:r>
      <w:r w:rsidR="00A10C36" w:rsidRPr="00EC51C2">
        <w:rPr>
          <w:rFonts w:ascii="Verdana" w:hAnsi="Verdana"/>
          <w:sz w:val="18"/>
          <w:szCs w:val="18"/>
        </w:rPr>
        <w:t xml:space="preserve"> </w:t>
      </w:r>
      <w:r w:rsidRPr="00EC51C2">
        <w:rPr>
          <w:rFonts w:ascii="Verdana" w:hAnsi="Verdana"/>
          <w:sz w:val="18"/>
          <w:szCs w:val="18"/>
        </w:rPr>
        <w:t xml:space="preserve">de realisatiegegevens opgeven. </w:t>
      </w:r>
    </w:p>
    <w:p w14:paraId="4F4EFCF8" w14:textId="4D7D7BF4" w:rsidR="00BB3CAE" w:rsidRDefault="00BB3CAE" w:rsidP="007C4062">
      <w:pPr>
        <w:pStyle w:val="Lijstalinea"/>
        <w:numPr>
          <w:ilvl w:val="0"/>
          <w:numId w:val="15"/>
        </w:numPr>
        <w:rPr>
          <w:rFonts w:ascii="Verdana" w:hAnsi="Verdana"/>
          <w:sz w:val="18"/>
          <w:szCs w:val="18"/>
        </w:rPr>
      </w:pPr>
      <w:r w:rsidRPr="00EC51C2">
        <w:rPr>
          <w:rFonts w:ascii="Verdana" w:hAnsi="Verdana"/>
          <w:sz w:val="18"/>
          <w:szCs w:val="18"/>
        </w:rPr>
        <w:t>Voor 20</w:t>
      </w:r>
      <w:r w:rsidR="00DD701E">
        <w:rPr>
          <w:rFonts w:ascii="Verdana" w:hAnsi="Verdana"/>
          <w:sz w:val="18"/>
          <w:szCs w:val="18"/>
        </w:rPr>
        <w:t>20</w:t>
      </w:r>
      <w:r w:rsidR="00ED778E" w:rsidRPr="00EC51C2">
        <w:rPr>
          <w:rFonts w:ascii="Verdana" w:hAnsi="Verdana"/>
          <w:sz w:val="18"/>
          <w:szCs w:val="18"/>
        </w:rPr>
        <w:t>-2021</w:t>
      </w:r>
      <w:r w:rsidRPr="00EC51C2">
        <w:rPr>
          <w:rFonts w:ascii="Verdana" w:hAnsi="Verdana"/>
          <w:sz w:val="18"/>
          <w:szCs w:val="18"/>
        </w:rPr>
        <w:t xml:space="preserve"> </w:t>
      </w:r>
      <w:r w:rsidR="00C43B3B" w:rsidRPr="00EC51C2">
        <w:rPr>
          <w:rFonts w:ascii="Verdana" w:hAnsi="Verdana"/>
          <w:sz w:val="18"/>
          <w:szCs w:val="18"/>
        </w:rPr>
        <w:t>geeft u in de witte vakjes de begroting op</w:t>
      </w:r>
      <w:r w:rsidR="009A2948" w:rsidRPr="00EC51C2">
        <w:rPr>
          <w:rStyle w:val="Voetnootmarkering"/>
          <w:rFonts w:ascii="Verdana" w:hAnsi="Verdana"/>
          <w:sz w:val="18"/>
          <w:szCs w:val="18"/>
        </w:rPr>
        <w:footnoteReference w:id="3"/>
      </w:r>
      <w:r w:rsidR="00C43B3B" w:rsidRPr="00EC51C2">
        <w:rPr>
          <w:rFonts w:ascii="Verdana" w:hAnsi="Verdana"/>
          <w:sz w:val="18"/>
          <w:szCs w:val="18"/>
        </w:rPr>
        <w:t xml:space="preserve">. Het </w:t>
      </w:r>
      <w:r w:rsidRPr="00EC51C2">
        <w:rPr>
          <w:rFonts w:ascii="Verdana" w:hAnsi="Verdana"/>
          <w:sz w:val="18"/>
          <w:szCs w:val="18"/>
        </w:rPr>
        <w:t xml:space="preserve">betreft </w:t>
      </w:r>
      <w:r w:rsidR="007C4062" w:rsidRPr="00EC51C2">
        <w:rPr>
          <w:rFonts w:ascii="Verdana" w:hAnsi="Verdana"/>
          <w:sz w:val="18"/>
          <w:szCs w:val="18"/>
        </w:rPr>
        <w:t>de</w:t>
      </w:r>
      <w:r w:rsidRPr="00EC51C2">
        <w:rPr>
          <w:rFonts w:ascii="Verdana" w:hAnsi="Verdana"/>
          <w:sz w:val="18"/>
          <w:szCs w:val="18"/>
        </w:rPr>
        <w:t xml:space="preserve"> begroting van de personeelsbezetting</w:t>
      </w:r>
      <w:r w:rsidR="007C4062" w:rsidRPr="00EC51C2">
        <w:rPr>
          <w:rFonts w:ascii="Verdana" w:hAnsi="Verdana"/>
          <w:sz w:val="18"/>
          <w:szCs w:val="18"/>
        </w:rPr>
        <w:t xml:space="preserve"> die aansluit bij het kwaliteitsplan</w:t>
      </w:r>
      <w:r w:rsidRPr="00EC51C2">
        <w:rPr>
          <w:rFonts w:ascii="Verdana" w:hAnsi="Verdana"/>
          <w:sz w:val="18"/>
          <w:szCs w:val="18"/>
        </w:rPr>
        <w:t xml:space="preserve">. </w:t>
      </w:r>
      <w:r w:rsidR="00ED778E" w:rsidRPr="00EC51C2">
        <w:rPr>
          <w:rFonts w:ascii="Verdana" w:hAnsi="Verdana"/>
          <w:sz w:val="18"/>
          <w:szCs w:val="18"/>
        </w:rPr>
        <w:t>De begroting voor het jaar 20</w:t>
      </w:r>
      <w:r w:rsidR="00A853AE" w:rsidRPr="00EC51C2">
        <w:rPr>
          <w:rFonts w:ascii="Verdana" w:hAnsi="Verdana"/>
          <w:sz w:val="18"/>
          <w:szCs w:val="18"/>
        </w:rPr>
        <w:t>2</w:t>
      </w:r>
      <w:r w:rsidR="005A671B">
        <w:rPr>
          <w:rFonts w:ascii="Verdana" w:hAnsi="Verdana"/>
          <w:sz w:val="18"/>
          <w:szCs w:val="18"/>
        </w:rPr>
        <w:t>1</w:t>
      </w:r>
      <w:r w:rsidR="00ED778E" w:rsidRPr="00EC51C2">
        <w:rPr>
          <w:rFonts w:ascii="Verdana" w:hAnsi="Verdana"/>
          <w:sz w:val="18"/>
          <w:szCs w:val="18"/>
        </w:rPr>
        <w:t xml:space="preserve"> zal worden gebruikt als onderbouwing voor het kwaliteitsbudget 20</w:t>
      </w:r>
      <w:r w:rsidR="00A853AE" w:rsidRPr="00EC51C2">
        <w:rPr>
          <w:rFonts w:ascii="Verdana" w:hAnsi="Verdana"/>
          <w:sz w:val="18"/>
          <w:szCs w:val="18"/>
        </w:rPr>
        <w:t>2</w:t>
      </w:r>
      <w:r w:rsidR="005A671B">
        <w:rPr>
          <w:rFonts w:ascii="Verdana" w:hAnsi="Verdana"/>
          <w:sz w:val="18"/>
          <w:szCs w:val="18"/>
        </w:rPr>
        <w:t>1</w:t>
      </w:r>
      <w:r w:rsidR="005A671B" w:rsidRPr="00EC51C2">
        <w:rPr>
          <w:rFonts w:ascii="Verdana" w:hAnsi="Verdana"/>
          <w:sz w:val="18"/>
          <w:szCs w:val="18"/>
        </w:rPr>
        <w:t xml:space="preserve"> </w:t>
      </w:r>
      <w:r w:rsidR="00ED778E" w:rsidRPr="00EC51C2">
        <w:rPr>
          <w:rFonts w:ascii="Verdana" w:hAnsi="Verdana"/>
          <w:sz w:val="18"/>
          <w:szCs w:val="18"/>
        </w:rPr>
        <w:t xml:space="preserve">De begroting voor </w:t>
      </w:r>
      <w:r w:rsidR="00A853AE" w:rsidRPr="00EC51C2">
        <w:rPr>
          <w:rFonts w:ascii="Verdana" w:hAnsi="Verdana"/>
          <w:sz w:val="18"/>
          <w:szCs w:val="18"/>
        </w:rPr>
        <w:t xml:space="preserve">het jaar </w:t>
      </w:r>
      <w:r w:rsidR="00ED778E" w:rsidRPr="00EC51C2">
        <w:rPr>
          <w:rFonts w:ascii="Verdana" w:hAnsi="Verdana"/>
          <w:sz w:val="18"/>
          <w:szCs w:val="18"/>
        </w:rPr>
        <w:t>2021 is van belang voor de dialoog met het zorgkantoor over het tempo van de implementatie van het kwaliteitskader.</w:t>
      </w:r>
    </w:p>
    <w:p w14:paraId="62091A3A" w14:textId="323C0FBA" w:rsidR="00D8118F" w:rsidRPr="00EC51C2" w:rsidRDefault="00D8118F" w:rsidP="007C4062">
      <w:pPr>
        <w:pStyle w:val="Lijstalinea"/>
        <w:numPr>
          <w:ilvl w:val="0"/>
          <w:numId w:val="15"/>
        </w:numPr>
        <w:rPr>
          <w:rFonts w:ascii="Verdana" w:hAnsi="Verdana"/>
          <w:sz w:val="18"/>
          <w:szCs w:val="18"/>
        </w:rPr>
      </w:pPr>
      <w:r>
        <w:rPr>
          <w:rFonts w:ascii="Verdana" w:hAnsi="Verdana"/>
          <w:sz w:val="18"/>
          <w:szCs w:val="18"/>
        </w:rPr>
        <w:t>Let</w:t>
      </w:r>
      <w:r w:rsidR="002036A1">
        <w:rPr>
          <w:rFonts w:ascii="Verdana" w:hAnsi="Verdana"/>
          <w:sz w:val="18"/>
          <w:szCs w:val="18"/>
        </w:rPr>
        <w:t xml:space="preserve"> op voor de berekening worden alleen de gegevens 2018 en 2021 gebruikt.</w:t>
      </w:r>
    </w:p>
    <w:p w14:paraId="244B86B8" w14:textId="60B8CEE8" w:rsidR="002B51CC" w:rsidRPr="00EC51C2" w:rsidRDefault="007C4062" w:rsidP="00116277">
      <w:pPr>
        <w:pStyle w:val="Lijstalinea"/>
        <w:numPr>
          <w:ilvl w:val="0"/>
          <w:numId w:val="15"/>
        </w:numPr>
        <w:rPr>
          <w:rFonts w:ascii="Verdana" w:hAnsi="Verdana"/>
          <w:sz w:val="18"/>
          <w:szCs w:val="18"/>
        </w:rPr>
      </w:pPr>
      <w:r w:rsidRPr="00EC51C2">
        <w:rPr>
          <w:rFonts w:ascii="Verdana" w:hAnsi="Verdana"/>
          <w:sz w:val="18"/>
          <w:szCs w:val="18"/>
        </w:rPr>
        <w:t xml:space="preserve">Tabel 1a bevat een ingevuld </w:t>
      </w:r>
      <w:r w:rsidR="001D69F1" w:rsidRPr="00EC51C2">
        <w:rPr>
          <w:rFonts w:ascii="Verdana" w:hAnsi="Verdana"/>
          <w:sz w:val="18"/>
          <w:szCs w:val="18"/>
        </w:rPr>
        <w:t xml:space="preserve">fictief </w:t>
      </w:r>
      <w:r w:rsidRPr="00EC51C2">
        <w:rPr>
          <w:rFonts w:ascii="Verdana" w:hAnsi="Verdana"/>
          <w:sz w:val="18"/>
          <w:szCs w:val="18"/>
        </w:rPr>
        <w:t>voorbeeld</w:t>
      </w:r>
      <w:r w:rsidR="00D949DB" w:rsidRPr="00EC51C2">
        <w:rPr>
          <w:rFonts w:ascii="Verdana" w:hAnsi="Verdana"/>
          <w:sz w:val="18"/>
          <w:szCs w:val="18"/>
        </w:rPr>
        <w:t xml:space="preserve">. De voorbeeld-instelling verwacht dus zijn personeel uit te breiden van </w:t>
      </w:r>
      <w:r w:rsidR="00A10C36" w:rsidRPr="00EC51C2">
        <w:rPr>
          <w:rFonts w:ascii="Verdana" w:hAnsi="Verdana"/>
          <w:sz w:val="18"/>
          <w:szCs w:val="18"/>
        </w:rPr>
        <w:t xml:space="preserve">gemiddeld </w:t>
      </w:r>
      <w:r w:rsidR="00D949DB" w:rsidRPr="00EC51C2">
        <w:rPr>
          <w:rFonts w:ascii="Verdana" w:hAnsi="Verdana"/>
          <w:sz w:val="18"/>
          <w:szCs w:val="18"/>
        </w:rPr>
        <w:t xml:space="preserve">1.000 </w:t>
      </w:r>
      <w:r w:rsidR="00A03CC7" w:rsidRPr="00EC51C2">
        <w:rPr>
          <w:rFonts w:ascii="Verdana" w:hAnsi="Verdana"/>
          <w:sz w:val="18"/>
          <w:szCs w:val="18"/>
        </w:rPr>
        <w:t xml:space="preserve">FTE </w:t>
      </w:r>
      <w:r w:rsidR="00A10C36" w:rsidRPr="00EC51C2">
        <w:rPr>
          <w:rFonts w:ascii="Verdana" w:hAnsi="Verdana"/>
          <w:sz w:val="18"/>
          <w:szCs w:val="18"/>
        </w:rPr>
        <w:t>in</w:t>
      </w:r>
      <w:r w:rsidR="00D949DB" w:rsidRPr="00EC51C2">
        <w:rPr>
          <w:rFonts w:ascii="Verdana" w:hAnsi="Verdana"/>
          <w:sz w:val="18"/>
          <w:szCs w:val="18"/>
        </w:rPr>
        <w:t xml:space="preserve"> 2018 naar </w:t>
      </w:r>
      <w:r w:rsidR="00A10C36" w:rsidRPr="00EC51C2">
        <w:rPr>
          <w:rFonts w:ascii="Verdana" w:hAnsi="Verdana"/>
          <w:sz w:val="18"/>
          <w:szCs w:val="18"/>
        </w:rPr>
        <w:t xml:space="preserve">gemiddeld </w:t>
      </w:r>
      <w:r w:rsidR="00D949DB" w:rsidRPr="00EC51C2">
        <w:rPr>
          <w:rFonts w:ascii="Verdana" w:hAnsi="Verdana"/>
          <w:sz w:val="18"/>
          <w:szCs w:val="18"/>
        </w:rPr>
        <w:t>1.</w:t>
      </w:r>
      <w:r w:rsidR="00B21EAD" w:rsidRPr="00EC51C2">
        <w:rPr>
          <w:rFonts w:ascii="Verdana" w:hAnsi="Verdana"/>
          <w:sz w:val="18"/>
          <w:szCs w:val="18"/>
        </w:rPr>
        <w:t>2</w:t>
      </w:r>
      <w:r w:rsidR="00925675">
        <w:rPr>
          <w:rFonts w:ascii="Verdana" w:hAnsi="Verdana"/>
          <w:sz w:val="18"/>
          <w:szCs w:val="18"/>
        </w:rPr>
        <w:t>50</w:t>
      </w:r>
      <w:r w:rsidR="00D949DB" w:rsidRPr="00EC51C2">
        <w:rPr>
          <w:rFonts w:ascii="Verdana" w:hAnsi="Verdana"/>
          <w:sz w:val="18"/>
          <w:szCs w:val="18"/>
        </w:rPr>
        <w:t xml:space="preserve"> </w:t>
      </w:r>
      <w:r w:rsidR="00A03CC7" w:rsidRPr="00EC51C2">
        <w:rPr>
          <w:rFonts w:ascii="Verdana" w:hAnsi="Verdana"/>
          <w:sz w:val="18"/>
          <w:szCs w:val="18"/>
        </w:rPr>
        <w:t xml:space="preserve">FTE </w:t>
      </w:r>
      <w:r w:rsidR="00A10C36" w:rsidRPr="00EC51C2">
        <w:rPr>
          <w:rFonts w:ascii="Verdana" w:hAnsi="Verdana"/>
          <w:sz w:val="18"/>
          <w:szCs w:val="18"/>
        </w:rPr>
        <w:t>in</w:t>
      </w:r>
      <w:r w:rsidR="00D949DB" w:rsidRPr="00EC51C2">
        <w:rPr>
          <w:rFonts w:ascii="Verdana" w:hAnsi="Verdana"/>
          <w:sz w:val="18"/>
          <w:szCs w:val="18"/>
        </w:rPr>
        <w:t xml:space="preserve"> 20</w:t>
      </w:r>
      <w:r w:rsidR="00A853AE" w:rsidRPr="00EC51C2">
        <w:rPr>
          <w:rFonts w:ascii="Verdana" w:hAnsi="Verdana"/>
          <w:sz w:val="18"/>
          <w:szCs w:val="18"/>
        </w:rPr>
        <w:t>2</w:t>
      </w:r>
      <w:r w:rsidR="00925675">
        <w:rPr>
          <w:rFonts w:ascii="Verdana" w:hAnsi="Verdana"/>
          <w:sz w:val="18"/>
          <w:szCs w:val="18"/>
        </w:rPr>
        <w:t>1</w:t>
      </w:r>
      <w:r w:rsidR="00D949DB" w:rsidRPr="00EC51C2">
        <w:rPr>
          <w:rFonts w:ascii="Verdana" w:hAnsi="Verdana"/>
          <w:sz w:val="18"/>
          <w:szCs w:val="18"/>
        </w:rPr>
        <w:t xml:space="preserve">. </w:t>
      </w:r>
    </w:p>
    <w:p w14:paraId="007C0568" w14:textId="5A544632" w:rsidR="008A3AD5" w:rsidRPr="00EC51C2" w:rsidRDefault="00781644">
      <w:pPr>
        <w:rPr>
          <w:rFonts w:ascii="Verdana" w:hAnsi="Verdana"/>
          <w:sz w:val="18"/>
          <w:szCs w:val="18"/>
        </w:rPr>
      </w:pPr>
      <w:r w:rsidRPr="00781644">
        <w:rPr>
          <w:noProof/>
        </w:rPr>
        <w:drawing>
          <wp:inline distT="0" distB="0" distL="0" distR="0" wp14:anchorId="2C6BBD91" wp14:editId="0A2D2CF8">
            <wp:extent cx="5760720" cy="177736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777365"/>
                    </a:xfrm>
                    <a:prstGeom prst="rect">
                      <a:avLst/>
                    </a:prstGeom>
                    <a:noFill/>
                    <a:ln>
                      <a:noFill/>
                    </a:ln>
                  </pic:spPr>
                </pic:pic>
              </a:graphicData>
            </a:graphic>
          </wp:inline>
        </w:drawing>
      </w:r>
    </w:p>
    <w:p w14:paraId="546C3A54" w14:textId="6FD0AA9D" w:rsidR="00BA789B" w:rsidRPr="00EC51C2" w:rsidRDefault="006E15DD">
      <w:pPr>
        <w:rPr>
          <w:rFonts w:ascii="Verdana" w:hAnsi="Verdana"/>
          <w:b/>
          <w:sz w:val="18"/>
          <w:szCs w:val="18"/>
        </w:rPr>
      </w:pPr>
      <w:r w:rsidRPr="00EC51C2">
        <w:rPr>
          <w:rFonts w:ascii="Verdana" w:hAnsi="Verdana"/>
          <w:sz w:val="18"/>
          <w:szCs w:val="18"/>
        </w:rPr>
        <w:t xml:space="preserve">Tabel 1b wordt automatisch gevuld op basis van de input in tabel 1a en geeft aan hoeveel extra </w:t>
      </w:r>
      <w:r w:rsidR="00A03CC7" w:rsidRPr="00EC51C2">
        <w:rPr>
          <w:rFonts w:ascii="Verdana" w:hAnsi="Verdana"/>
          <w:sz w:val="18"/>
          <w:szCs w:val="18"/>
        </w:rPr>
        <w:t xml:space="preserve">FTE </w:t>
      </w:r>
      <w:r w:rsidRPr="00EC51C2">
        <w:rPr>
          <w:rFonts w:ascii="Verdana" w:hAnsi="Verdana"/>
          <w:sz w:val="18"/>
          <w:szCs w:val="18"/>
        </w:rPr>
        <w:t>per categorie u heeft begroot in de jaren 20</w:t>
      </w:r>
      <w:r w:rsidR="00925675">
        <w:rPr>
          <w:rFonts w:ascii="Verdana" w:hAnsi="Verdana"/>
          <w:sz w:val="18"/>
          <w:szCs w:val="18"/>
        </w:rPr>
        <w:t>20</w:t>
      </w:r>
      <w:r w:rsidRPr="00EC51C2">
        <w:rPr>
          <w:rFonts w:ascii="Verdana" w:hAnsi="Verdana"/>
          <w:sz w:val="18"/>
          <w:szCs w:val="18"/>
        </w:rPr>
        <w:t xml:space="preserve">-2021 ten opzichte van 2018. </w:t>
      </w:r>
      <w:r w:rsidR="0054752A" w:rsidRPr="0054752A">
        <w:rPr>
          <w:noProof/>
        </w:rPr>
        <w:drawing>
          <wp:inline distT="0" distB="0" distL="0" distR="0" wp14:anchorId="500AD782" wp14:editId="2AEC51EC">
            <wp:extent cx="5760720" cy="151765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17650"/>
                    </a:xfrm>
                    <a:prstGeom prst="rect">
                      <a:avLst/>
                    </a:prstGeom>
                    <a:noFill/>
                    <a:ln>
                      <a:noFill/>
                    </a:ln>
                  </pic:spPr>
                </pic:pic>
              </a:graphicData>
            </a:graphic>
          </wp:inline>
        </w:drawing>
      </w:r>
    </w:p>
    <w:p w14:paraId="57068AEF" w14:textId="77777777" w:rsidR="00BA789B" w:rsidRPr="00EC51C2" w:rsidRDefault="00BA789B">
      <w:pPr>
        <w:rPr>
          <w:rFonts w:ascii="Verdana" w:hAnsi="Verdana"/>
          <w:b/>
          <w:sz w:val="18"/>
          <w:szCs w:val="18"/>
        </w:rPr>
      </w:pPr>
    </w:p>
    <w:tbl>
      <w:tblPr>
        <w:tblStyle w:val="Tabelraster"/>
        <w:tblpPr w:leftFromText="141" w:rightFromText="141" w:vertAnchor="text" w:horzAnchor="margin" w:tblpY="263"/>
        <w:tblW w:w="9322" w:type="dxa"/>
        <w:tblLook w:val="04A0" w:firstRow="1" w:lastRow="0" w:firstColumn="1" w:lastColumn="0" w:noHBand="0" w:noVBand="1"/>
      </w:tblPr>
      <w:tblGrid>
        <w:gridCol w:w="1315"/>
        <w:gridCol w:w="8007"/>
      </w:tblGrid>
      <w:tr w:rsidR="002162F7" w:rsidRPr="00EC51C2" w14:paraId="56A489A6" w14:textId="77777777" w:rsidTr="002162F7">
        <w:trPr>
          <w:trHeight w:val="454"/>
        </w:trPr>
        <w:tc>
          <w:tcPr>
            <w:tcW w:w="1315" w:type="dxa"/>
            <w:shd w:val="clear" w:color="auto" w:fill="9BBB59" w:themeFill="accent3"/>
            <w:vAlign w:val="center"/>
          </w:tcPr>
          <w:p w14:paraId="310CCFE3" w14:textId="77777777" w:rsidR="002162F7" w:rsidRPr="00EC51C2" w:rsidRDefault="002162F7" w:rsidP="002162F7">
            <w:pPr>
              <w:rPr>
                <w:rFonts w:ascii="Verdana" w:hAnsi="Verdana"/>
                <w:b/>
                <w:sz w:val="18"/>
                <w:szCs w:val="18"/>
              </w:rPr>
            </w:pPr>
            <w:r w:rsidRPr="00EC51C2">
              <w:rPr>
                <w:rFonts w:ascii="Verdana" w:hAnsi="Verdana"/>
                <w:b/>
                <w:sz w:val="18"/>
                <w:szCs w:val="18"/>
              </w:rPr>
              <w:lastRenderedPageBreak/>
              <w:t>Stap 2</w:t>
            </w:r>
          </w:p>
        </w:tc>
        <w:tc>
          <w:tcPr>
            <w:tcW w:w="8007" w:type="dxa"/>
            <w:shd w:val="clear" w:color="auto" w:fill="9BBB59" w:themeFill="accent3"/>
            <w:vAlign w:val="center"/>
          </w:tcPr>
          <w:p w14:paraId="539001DE" w14:textId="77777777" w:rsidR="002162F7" w:rsidRPr="00EC51C2" w:rsidRDefault="002162F7" w:rsidP="002162F7">
            <w:pPr>
              <w:rPr>
                <w:rFonts w:ascii="Verdana" w:hAnsi="Verdana"/>
                <w:sz w:val="18"/>
                <w:szCs w:val="18"/>
              </w:rPr>
            </w:pPr>
            <w:r w:rsidRPr="00EC51C2">
              <w:rPr>
                <w:rFonts w:ascii="Verdana" w:hAnsi="Verdana"/>
                <w:sz w:val="18"/>
                <w:szCs w:val="18"/>
              </w:rPr>
              <w:t>Gemiddelde loonkosten per extra fte naar categorieën</w:t>
            </w:r>
          </w:p>
        </w:tc>
      </w:tr>
    </w:tbl>
    <w:p w14:paraId="014183A5" w14:textId="77777777" w:rsidR="00BA789B" w:rsidRPr="00EC51C2" w:rsidRDefault="00BA789B">
      <w:pPr>
        <w:rPr>
          <w:rFonts w:ascii="Verdana" w:hAnsi="Verdana"/>
          <w:sz w:val="18"/>
          <w:szCs w:val="18"/>
        </w:rPr>
      </w:pPr>
    </w:p>
    <w:p w14:paraId="4963F85A" w14:textId="77777777" w:rsidR="00BA789B" w:rsidRPr="00EC51C2" w:rsidRDefault="00BA789B">
      <w:pPr>
        <w:rPr>
          <w:rFonts w:ascii="Verdana" w:hAnsi="Verdana"/>
          <w:sz w:val="18"/>
          <w:szCs w:val="18"/>
        </w:rPr>
      </w:pPr>
    </w:p>
    <w:p w14:paraId="1B3B835E" w14:textId="7AA58609" w:rsidR="00D8741E" w:rsidRPr="00EC51C2" w:rsidRDefault="00D8741E" w:rsidP="00D155EC">
      <w:pPr>
        <w:pStyle w:val="Lijstalinea"/>
        <w:numPr>
          <w:ilvl w:val="0"/>
          <w:numId w:val="15"/>
        </w:numPr>
        <w:rPr>
          <w:rFonts w:ascii="Verdana" w:hAnsi="Verdana"/>
          <w:sz w:val="18"/>
          <w:szCs w:val="18"/>
        </w:rPr>
      </w:pPr>
      <w:r w:rsidRPr="00EC51C2">
        <w:rPr>
          <w:rFonts w:ascii="Verdana" w:hAnsi="Verdana"/>
          <w:sz w:val="18"/>
          <w:szCs w:val="18"/>
        </w:rPr>
        <w:t>In tabel 2a geeft u in de witte vakjes op wat de verwachte</w:t>
      </w:r>
      <w:r w:rsidR="00A10C36" w:rsidRPr="00EC51C2">
        <w:rPr>
          <w:rFonts w:ascii="Verdana" w:hAnsi="Verdana"/>
          <w:sz w:val="18"/>
          <w:szCs w:val="18"/>
        </w:rPr>
        <w:t xml:space="preserve"> gemiddelde</w:t>
      </w:r>
      <w:r w:rsidRPr="00EC51C2">
        <w:rPr>
          <w:rFonts w:ascii="Verdana" w:hAnsi="Verdana"/>
          <w:sz w:val="18"/>
          <w:szCs w:val="18"/>
        </w:rPr>
        <w:t xml:space="preserve"> loonkosten in </w:t>
      </w:r>
      <w:r w:rsidR="00C43B3B" w:rsidRPr="00EC51C2">
        <w:rPr>
          <w:rFonts w:ascii="Verdana" w:hAnsi="Verdana"/>
          <w:sz w:val="18"/>
          <w:szCs w:val="18"/>
        </w:rPr>
        <w:t>20</w:t>
      </w:r>
      <w:r w:rsidR="00925675">
        <w:rPr>
          <w:rFonts w:ascii="Verdana" w:hAnsi="Verdana"/>
          <w:sz w:val="18"/>
          <w:szCs w:val="18"/>
        </w:rPr>
        <w:t>20</w:t>
      </w:r>
      <w:r w:rsidR="00C43B3B" w:rsidRPr="00EC51C2">
        <w:rPr>
          <w:rFonts w:ascii="Verdana" w:hAnsi="Verdana"/>
          <w:sz w:val="18"/>
          <w:szCs w:val="18"/>
        </w:rPr>
        <w:t xml:space="preserve"> en </w:t>
      </w:r>
      <w:r w:rsidRPr="00EC51C2">
        <w:rPr>
          <w:rFonts w:ascii="Verdana" w:hAnsi="Verdana"/>
          <w:sz w:val="18"/>
          <w:szCs w:val="18"/>
        </w:rPr>
        <w:t>20</w:t>
      </w:r>
      <w:r w:rsidR="00A853AE" w:rsidRPr="00EC51C2">
        <w:rPr>
          <w:rFonts w:ascii="Verdana" w:hAnsi="Verdana"/>
          <w:sz w:val="18"/>
          <w:szCs w:val="18"/>
        </w:rPr>
        <w:t>2</w:t>
      </w:r>
      <w:r w:rsidR="00925675">
        <w:rPr>
          <w:rFonts w:ascii="Verdana" w:hAnsi="Verdana"/>
          <w:sz w:val="18"/>
          <w:szCs w:val="18"/>
        </w:rPr>
        <w:t>1</w:t>
      </w:r>
      <w:r w:rsidR="00EA3868" w:rsidRPr="00EC51C2">
        <w:rPr>
          <w:rFonts w:ascii="Verdana" w:hAnsi="Verdana"/>
          <w:sz w:val="18"/>
          <w:szCs w:val="18"/>
        </w:rPr>
        <w:t xml:space="preserve"> zullen zijn</w:t>
      </w:r>
      <w:r w:rsidRPr="00EC51C2">
        <w:rPr>
          <w:rFonts w:ascii="Verdana" w:hAnsi="Verdana"/>
          <w:sz w:val="18"/>
          <w:szCs w:val="18"/>
        </w:rPr>
        <w:t xml:space="preserve"> per extra </w:t>
      </w:r>
      <w:r w:rsidR="00A03CC7" w:rsidRPr="00EC51C2">
        <w:rPr>
          <w:rFonts w:ascii="Verdana" w:hAnsi="Verdana"/>
          <w:sz w:val="18"/>
          <w:szCs w:val="18"/>
        </w:rPr>
        <w:t xml:space="preserve">FTE </w:t>
      </w:r>
      <w:r w:rsidRPr="00EC51C2">
        <w:rPr>
          <w:rFonts w:ascii="Verdana" w:hAnsi="Verdana"/>
          <w:sz w:val="18"/>
          <w:szCs w:val="18"/>
        </w:rPr>
        <w:t xml:space="preserve">in de </w:t>
      </w:r>
      <w:r w:rsidR="00EA3868" w:rsidRPr="00EC51C2">
        <w:rPr>
          <w:rFonts w:ascii="Verdana" w:hAnsi="Verdana"/>
          <w:sz w:val="18"/>
          <w:szCs w:val="18"/>
        </w:rPr>
        <w:t xml:space="preserve">onderscheiden </w:t>
      </w:r>
      <w:r w:rsidRPr="00EC51C2">
        <w:rPr>
          <w:rFonts w:ascii="Verdana" w:hAnsi="Verdana"/>
          <w:sz w:val="18"/>
          <w:szCs w:val="18"/>
        </w:rPr>
        <w:t>categorieën</w:t>
      </w:r>
      <w:r w:rsidR="00EA3868" w:rsidRPr="00EC51C2">
        <w:rPr>
          <w:rFonts w:ascii="Verdana" w:hAnsi="Verdana"/>
          <w:sz w:val="18"/>
          <w:szCs w:val="18"/>
        </w:rPr>
        <w:t>.</w:t>
      </w:r>
      <w:r w:rsidRPr="00EC51C2">
        <w:rPr>
          <w:rFonts w:ascii="Verdana" w:hAnsi="Verdana"/>
          <w:sz w:val="18"/>
          <w:szCs w:val="18"/>
        </w:rPr>
        <w:t xml:space="preserve"> </w:t>
      </w:r>
      <w:r w:rsidR="00EA3868" w:rsidRPr="00EC51C2">
        <w:rPr>
          <w:rFonts w:ascii="Verdana" w:hAnsi="Verdana"/>
          <w:sz w:val="18"/>
          <w:szCs w:val="18"/>
        </w:rPr>
        <w:t>Dit bedrag kunt u bijvoorbeeld baseren op de gemiddelde feitelijke loonkosten van uw bestaande personeel in loondienst per categorie</w:t>
      </w:r>
      <w:r w:rsidR="00C43B3B" w:rsidRPr="00EC51C2">
        <w:rPr>
          <w:rFonts w:ascii="Verdana" w:hAnsi="Verdana"/>
          <w:sz w:val="18"/>
          <w:szCs w:val="18"/>
        </w:rPr>
        <w:t xml:space="preserve"> in 2018 en op de afgesproken loonontwikkeling voor 20</w:t>
      </w:r>
      <w:r w:rsidR="00A853AE" w:rsidRPr="00EC51C2">
        <w:rPr>
          <w:rFonts w:ascii="Verdana" w:hAnsi="Verdana"/>
          <w:sz w:val="18"/>
          <w:szCs w:val="18"/>
        </w:rPr>
        <w:t>2</w:t>
      </w:r>
      <w:r w:rsidR="00925675">
        <w:rPr>
          <w:rFonts w:ascii="Verdana" w:hAnsi="Verdana"/>
          <w:sz w:val="18"/>
          <w:szCs w:val="18"/>
        </w:rPr>
        <w:t>1</w:t>
      </w:r>
      <w:r w:rsidR="00C43B3B" w:rsidRPr="00EC51C2">
        <w:rPr>
          <w:rFonts w:ascii="Verdana" w:hAnsi="Verdana"/>
          <w:sz w:val="18"/>
          <w:szCs w:val="18"/>
        </w:rPr>
        <w:t xml:space="preserve"> conform de CAO</w:t>
      </w:r>
      <w:r w:rsidR="00EA3868" w:rsidRPr="00EC51C2">
        <w:rPr>
          <w:rFonts w:ascii="Verdana" w:hAnsi="Verdana"/>
          <w:sz w:val="18"/>
          <w:szCs w:val="18"/>
        </w:rPr>
        <w:t>.</w:t>
      </w:r>
      <w:r w:rsidR="001D69F1" w:rsidRPr="00EC51C2">
        <w:rPr>
          <w:rFonts w:ascii="Verdana" w:hAnsi="Verdana"/>
          <w:sz w:val="18"/>
          <w:szCs w:val="18"/>
        </w:rPr>
        <w:t xml:space="preserve"> Tabel 2a bevat een ingevuld fictief voorbeeld. </w:t>
      </w:r>
    </w:p>
    <w:p w14:paraId="552B76F4" w14:textId="4D0DD999" w:rsidR="00FA5301" w:rsidRPr="00EC51C2" w:rsidRDefault="00FA5301" w:rsidP="002C7325">
      <w:pPr>
        <w:pStyle w:val="Lijstalinea"/>
        <w:ind w:left="360"/>
        <w:rPr>
          <w:rFonts w:ascii="Verdana" w:hAnsi="Verdana"/>
          <w:sz w:val="18"/>
          <w:szCs w:val="18"/>
        </w:rPr>
      </w:pPr>
    </w:p>
    <w:p w14:paraId="7F7F4541" w14:textId="77777777" w:rsidR="00FA5301" w:rsidRPr="00EC51C2" w:rsidRDefault="00C43B3B">
      <w:pPr>
        <w:pStyle w:val="Lijstalinea"/>
        <w:numPr>
          <w:ilvl w:val="0"/>
          <w:numId w:val="15"/>
        </w:numPr>
        <w:spacing w:after="0"/>
        <w:rPr>
          <w:rFonts w:ascii="Verdana" w:hAnsi="Verdana"/>
          <w:sz w:val="18"/>
          <w:szCs w:val="18"/>
        </w:rPr>
      </w:pPr>
      <w:r w:rsidRPr="00EC51C2">
        <w:rPr>
          <w:rFonts w:ascii="Verdana" w:hAnsi="Verdana"/>
          <w:sz w:val="18"/>
          <w:szCs w:val="18"/>
        </w:rPr>
        <w:t>Vanuit het kwaliteitsbudget voor extra personeel kunnen de daadwerkelijke loonkosten of kosten van inhuur gefinancierd worden. Voor de loonkosten mogen de volgende kosten meegenomen worden voor zover in lijn met de CAO</w:t>
      </w:r>
      <w:r w:rsidR="005928E9" w:rsidRPr="00EC51C2">
        <w:rPr>
          <w:rStyle w:val="Voetnootmarkering"/>
          <w:rFonts w:ascii="Verdana" w:hAnsi="Verdana"/>
          <w:sz w:val="18"/>
          <w:szCs w:val="18"/>
        </w:rPr>
        <w:footnoteReference w:id="4"/>
      </w:r>
      <w:r w:rsidRPr="00EC51C2">
        <w:rPr>
          <w:rFonts w:ascii="Verdana" w:hAnsi="Verdana"/>
          <w:sz w:val="18"/>
          <w:szCs w:val="18"/>
        </w:rPr>
        <w:t>:</w:t>
      </w:r>
    </w:p>
    <w:p w14:paraId="5090CDEA" w14:textId="77777777" w:rsidR="00FA5301" w:rsidRPr="00EC51C2" w:rsidRDefault="006E15DD">
      <w:pPr>
        <w:pStyle w:val="Lijstalinea"/>
        <w:numPr>
          <w:ilvl w:val="0"/>
          <w:numId w:val="25"/>
        </w:numPr>
        <w:spacing w:after="0"/>
        <w:ind w:left="851" w:hanging="425"/>
        <w:rPr>
          <w:rFonts w:ascii="Verdana" w:hAnsi="Verdana"/>
          <w:sz w:val="18"/>
          <w:szCs w:val="18"/>
        </w:rPr>
      </w:pPr>
      <w:r w:rsidRPr="00EC51C2">
        <w:rPr>
          <w:rFonts w:ascii="Verdana" w:hAnsi="Verdana"/>
          <w:sz w:val="18"/>
          <w:szCs w:val="18"/>
        </w:rPr>
        <w:t xml:space="preserve">Directe loonkosten: salaris, vakantietoeslag. </w:t>
      </w:r>
    </w:p>
    <w:p w14:paraId="5E387B39" w14:textId="77777777" w:rsidR="00FA5301" w:rsidRPr="00EC51C2" w:rsidRDefault="006E15DD">
      <w:pPr>
        <w:pStyle w:val="Lijstalinea"/>
        <w:numPr>
          <w:ilvl w:val="0"/>
          <w:numId w:val="25"/>
        </w:numPr>
        <w:spacing w:after="0"/>
        <w:ind w:left="851" w:hanging="425"/>
        <w:rPr>
          <w:rFonts w:ascii="Verdana" w:hAnsi="Verdana"/>
          <w:sz w:val="18"/>
          <w:szCs w:val="18"/>
        </w:rPr>
      </w:pPr>
      <w:r w:rsidRPr="00EC51C2">
        <w:rPr>
          <w:rFonts w:ascii="Verdana" w:hAnsi="Verdana"/>
          <w:sz w:val="18"/>
          <w:szCs w:val="18"/>
        </w:rPr>
        <w:t xml:space="preserve">Indirecte loonkosten: pensioenkosten, reiskosten, onkostenvergoedingen, secundaire arbeidsvoorwaarden, zoals inkomenszekerheid bij arbeidsongeschiktheid of een </w:t>
      </w:r>
      <w:proofErr w:type="spellStart"/>
      <w:r w:rsidRPr="00EC51C2">
        <w:rPr>
          <w:rFonts w:ascii="Verdana" w:hAnsi="Verdana"/>
          <w:sz w:val="18"/>
          <w:szCs w:val="18"/>
        </w:rPr>
        <w:t>Anw</w:t>
      </w:r>
      <w:proofErr w:type="spellEnd"/>
      <w:r w:rsidRPr="00EC51C2">
        <w:rPr>
          <w:rFonts w:ascii="Verdana" w:hAnsi="Verdana"/>
          <w:sz w:val="18"/>
          <w:szCs w:val="18"/>
        </w:rPr>
        <w:t>-gat verzekering, kosten voor eventuele personeelsverzekeringen, zoals een ziekteverzuimverzekering</w:t>
      </w:r>
      <w:r w:rsidR="00832C59" w:rsidRPr="00EC51C2">
        <w:rPr>
          <w:rFonts w:ascii="Verdana" w:hAnsi="Verdana"/>
          <w:sz w:val="18"/>
          <w:szCs w:val="18"/>
        </w:rPr>
        <w:t>.</w:t>
      </w:r>
    </w:p>
    <w:p w14:paraId="37DC2528" w14:textId="77777777" w:rsidR="00FA5301" w:rsidRPr="00EC51C2" w:rsidRDefault="006E15DD">
      <w:pPr>
        <w:pStyle w:val="Lijstalinea"/>
        <w:numPr>
          <w:ilvl w:val="0"/>
          <w:numId w:val="25"/>
        </w:numPr>
        <w:spacing w:after="0"/>
        <w:ind w:left="851" w:hanging="425"/>
        <w:rPr>
          <w:rFonts w:ascii="Verdana" w:hAnsi="Verdana"/>
          <w:sz w:val="18"/>
          <w:szCs w:val="18"/>
        </w:rPr>
      </w:pPr>
      <w:r w:rsidRPr="00EC51C2">
        <w:rPr>
          <w:rFonts w:ascii="Verdana" w:hAnsi="Verdana"/>
          <w:sz w:val="18"/>
          <w:szCs w:val="18"/>
        </w:rPr>
        <w:t xml:space="preserve">Verplichte premies en bijdragen: loonbelasting, premie volksverzekeringen (AOW, </w:t>
      </w:r>
      <w:proofErr w:type="spellStart"/>
      <w:r w:rsidRPr="00EC51C2">
        <w:rPr>
          <w:rFonts w:ascii="Verdana" w:hAnsi="Verdana"/>
          <w:sz w:val="18"/>
          <w:szCs w:val="18"/>
        </w:rPr>
        <w:t>Anw</w:t>
      </w:r>
      <w:proofErr w:type="spellEnd"/>
      <w:r w:rsidRPr="00EC51C2">
        <w:rPr>
          <w:rFonts w:ascii="Verdana" w:hAnsi="Verdana"/>
          <w:sz w:val="18"/>
          <w:szCs w:val="18"/>
        </w:rPr>
        <w:t xml:space="preserve"> en Wlz), premies werknemersverzekeringen (WW, WAO, WIA en ZW) inkomensafhankelijke bijdrage Zorgverzekeringswet (werkgeversheffing en in evt. bijdrage Zorgverzekeringswet)</w:t>
      </w:r>
      <w:r w:rsidR="00832C59" w:rsidRPr="00EC51C2">
        <w:rPr>
          <w:rFonts w:ascii="Verdana" w:hAnsi="Verdana"/>
          <w:sz w:val="18"/>
          <w:szCs w:val="18"/>
        </w:rPr>
        <w:t>.</w:t>
      </w:r>
    </w:p>
    <w:p w14:paraId="138A3525" w14:textId="77777777" w:rsidR="00A03CC7" w:rsidRPr="00EC51C2" w:rsidRDefault="005D489D" w:rsidP="008A3AD5">
      <w:pPr>
        <w:pStyle w:val="Lijstalinea"/>
        <w:numPr>
          <w:ilvl w:val="0"/>
          <w:numId w:val="15"/>
        </w:numPr>
        <w:rPr>
          <w:rFonts w:ascii="Verdana" w:hAnsi="Verdana"/>
          <w:sz w:val="18"/>
          <w:szCs w:val="18"/>
        </w:rPr>
      </w:pPr>
      <w:r w:rsidRPr="00EC51C2">
        <w:rPr>
          <w:rFonts w:ascii="Verdana" w:hAnsi="Verdana"/>
          <w:sz w:val="18"/>
          <w:szCs w:val="18"/>
        </w:rPr>
        <w:t xml:space="preserve">Zorgkantoren </w:t>
      </w:r>
      <w:r w:rsidR="00007F01" w:rsidRPr="00EC51C2">
        <w:rPr>
          <w:rFonts w:ascii="Verdana" w:hAnsi="Verdana"/>
          <w:sz w:val="18"/>
          <w:szCs w:val="18"/>
        </w:rPr>
        <w:t xml:space="preserve">toetsen </w:t>
      </w:r>
      <w:r w:rsidRPr="00EC51C2">
        <w:rPr>
          <w:rFonts w:ascii="Verdana" w:hAnsi="Verdana"/>
          <w:sz w:val="18"/>
          <w:szCs w:val="18"/>
        </w:rPr>
        <w:t xml:space="preserve">of het bedrag aan </w:t>
      </w:r>
      <w:r w:rsidR="00A10C36" w:rsidRPr="00EC51C2">
        <w:rPr>
          <w:rFonts w:ascii="Verdana" w:hAnsi="Verdana"/>
          <w:sz w:val="18"/>
          <w:szCs w:val="18"/>
        </w:rPr>
        <w:t xml:space="preserve">gemiddelde </w:t>
      </w:r>
      <w:r w:rsidRPr="00EC51C2">
        <w:rPr>
          <w:rFonts w:ascii="Verdana" w:hAnsi="Verdana"/>
          <w:sz w:val="18"/>
          <w:szCs w:val="18"/>
        </w:rPr>
        <w:t xml:space="preserve">loonkosten realistisch is. Daartoe wordt in elk geval bekeken of </w:t>
      </w:r>
      <w:r w:rsidR="00A10C36" w:rsidRPr="00EC51C2">
        <w:rPr>
          <w:rFonts w:ascii="Verdana" w:hAnsi="Verdana"/>
          <w:sz w:val="18"/>
          <w:szCs w:val="18"/>
        </w:rPr>
        <w:t>dit</w:t>
      </w:r>
      <w:r w:rsidRPr="00EC51C2">
        <w:rPr>
          <w:rFonts w:ascii="Verdana" w:hAnsi="Verdana"/>
          <w:sz w:val="18"/>
          <w:szCs w:val="18"/>
        </w:rPr>
        <w:t xml:space="preserve"> bedrag niet hoger is dan de loonkosten behorend bij de hoogste trede in de loonschaal van die categorie.</w:t>
      </w:r>
      <w:r w:rsidR="00007F01" w:rsidRPr="00EC51C2">
        <w:rPr>
          <w:rFonts w:ascii="Verdana" w:hAnsi="Verdana"/>
          <w:sz w:val="18"/>
          <w:szCs w:val="18"/>
        </w:rPr>
        <w:t xml:space="preserve"> </w:t>
      </w:r>
      <w:r w:rsidR="008C1683" w:rsidRPr="00EC51C2">
        <w:rPr>
          <w:rFonts w:ascii="Verdana" w:hAnsi="Verdana"/>
          <w:sz w:val="18"/>
          <w:szCs w:val="18"/>
        </w:rPr>
        <w:t xml:space="preserve">Wij vragen u om een motivatie op te nemen als de </w:t>
      </w:r>
      <w:r w:rsidR="00007F01" w:rsidRPr="00EC51C2">
        <w:rPr>
          <w:rFonts w:ascii="Verdana" w:hAnsi="Verdana"/>
          <w:sz w:val="18"/>
          <w:szCs w:val="18"/>
        </w:rPr>
        <w:t>loonkosten per FTE hoger zijn dan de hoogste trede in de loonschaal</w:t>
      </w:r>
      <w:r w:rsidR="008C1683" w:rsidRPr="00EC51C2">
        <w:rPr>
          <w:rFonts w:ascii="Verdana" w:hAnsi="Verdana"/>
          <w:sz w:val="18"/>
          <w:szCs w:val="18"/>
        </w:rPr>
        <w:t xml:space="preserve">. </w:t>
      </w:r>
    </w:p>
    <w:p w14:paraId="3825761A" w14:textId="43397CC8" w:rsidR="00A87800" w:rsidRPr="00EC51C2" w:rsidRDefault="004F69CB">
      <w:pPr>
        <w:rPr>
          <w:rFonts w:ascii="Verdana" w:hAnsi="Verdana"/>
          <w:sz w:val="18"/>
          <w:szCs w:val="18"/>
        </w:rPr>
      </w:pPr>
      <w:r w:rsidRPr="004F69CB">
        <w:rPr>
          <w:noProof/>
        </w:rPr>
        <w:drawing>
          <wp:inline distT="0" distB="0" distL="0" distR="0" wp14:anchorId="03DB9FE1" wp14:editId="2733C076">
            <wp:extent cx="5760720" cy="1539875"/>
            <wp:effectExtent l="0" t="0" r="0" b="317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539875"/>
                    </a:xfrm>
                    <a:prstGeom prst="rect">
                      <a:avLst/>
                    </a:prstGeom>
                    <a:noFill/>
                    <a:ln>
                      <a:noFill/>
                    </a:ln>
                  </pic:spPr>
                </pic:pic>
              </a:graphicData>
            </a:graphic>
          </wp:inline>
        </w:drawing>
      </w:r>
    </w:p>
    <w:p w14:paraId="10309CFD" w14:textId="2761AF01" w:rsidR="001D69F1" w:rsidRPr="00EC51C2" w:rsidRDefault="00755C41" w:rsidP="001D69F1">
      <w:pPr>
        <w:pStyle w:val="Lijstalinea"/>
        <w:numPr>
          <w:ilvl w:val="0"/>
          <w:numId w:val="15"/>
        </w:numPr>
        <w:rPr>
          <w:rFonts w:ascii="Verdana" w:hAnsi="Verdana"/>
          <w:sz w:val="18"/>
          <w:szCs w:val="18"/>
        </w:rPr>
      </w:pPr>
      <w:r w:rsidRPr="00EC51C2">
        <w:rPr>
          <w:rFonts w:ascii="Verdana" w:hAnsi="Verdana"/>
          <w:sz w:val="18"/>
          <w:szCs w:val="18"/>
        </w:rPr>
        <w:t>Het model berekent in tabel 2b vervolgens automatisch de begroting van de extra loonkosten van zorgpersoneel in loondienst in de jaren 20</w:t>
      </w:r>
      <w:r w:rsidR="00925675">
        <w:rPr>
          <w:rFonts w:ascii="Verdana" w:hAnsi="Verdana"/>
          <w:sz w:val="18"/>
          <w:szCs w:val="18"/>
        </w:rPr>
        <w:t>20</w:t>
      </w:r>
      <w:r w:rsidRPr="00EC51C2">
        <w:rPr>
          <w:rFonts w:ascii="Verdana" w:hAnsi="Verdana"/>
          <w:sz w:val="18"/>
          <w:szCs w:val="18"/>
        </w:rPr>
        <w:t xml:space="preserve">-2021. De extra personeelsinzet per categorie uit tabel 1b wordt hiertoe vermenigvuldigd met de verwachte loonkosten per </w:t>
      </w:r>
      <w:r w:rsidR="00A03CC7" w:rsidRPr="00EC51C2">
        <w:rPr>
          <w:rFonts w:ascii="Verdana" w:hAnsi="Verdana"/>
          <w:sz w:val="18"/>
          <w:szCs w:val="18"/>
        </w:rPr>
        <w:t xml:space="preserve">FTE </w:t>
      </w:r>
      <w:r w:rsidRPr="00EC51C2">
        <w:rPr>
          <w:rFonts w:ascii="Verdana" w:hAnsi="Verdana"/>
          <w:sz w:val="18"/>
          <w:szCs w:val="18"/>
        </w:rPr>
        <w:t>uit tabel 2a.</w:t>
      </w:r>
    </w:p>
    <w:p w14:paraId="34034BB6" w14:textId="69838CD5" w:rsidR="001D69F1" w:rsidRPr="00EC51C2" w:rsidRDefault="001D69F1" w:rsidP="001D69F1">
      <w:pPr>
        <w:pStyle w:val="Lijstalinea"/>
        <w:numPr>
          <w:ilvl w:val="0"/>
          <w:numId w:val="15"/>
        </w:numPr>
        <w:rPr>
          <w:rFonts w:ascii="Verdana" w:hAnsi="Verdana"/>
          <w:sz w:val="18"/>
          <w:szCs w:val="18"/>
        </w:rPr>
      </w:pPr>
      <w:r w:rsidRPr="00EC51C2">
        <w:rPr>
          <w:rFonts w:ascii="Verdana" w:hAnsi="Verdana"/>
          <w:sz w:val="18"/>
          <w:szCs w:val="18"/>
        </w:rPr>
        <w:t>Na afloop van het jaar zal voor de financiële verantwoording over het kwaliteitsbudget de feitelijk gerealiseerde extra personeelsinzet per categorie worden vermenigvuldigd met de werkelijke gemiddelde loonkosten per categorie in 20</w:t>
      </w:r>
      <w:r w:rsidR="00A853AE" w:rsidRPr="00EC51C2">
        <w:rPr>
          <w:rFonts w:ascii="Verdana" w:hAnsi="Verdana"/>
          <w:sz w:val="18"/>
          <w:szCs w:val="18"/>
        </w:rPr>
        <w:t>2</w:t>
      </w:r>
      <w:r w:rsidR="00925675">
        <w:rPr>
          <w:rFonts w:ascii="Verdana" w:hAnsi="Verdana"/>
          <w:sz w:val="18"/>
          <w:szCs w:val="18"/>
        </w:rPr>
        <w:t>1</w:t>
      </w:r>
      <w:r w:rsidRPr="00EC51C2">
        <w:rPr>
          <w:rFonts w:ascii="Verdana" w:hAnsi="Verdana"/>
          <w:sz w:val="18"/>
          <w:szCs w:val="18"/>
        </w:rPr>
        <w:t xml:space="preserve">. </w:t>
      </w:r>
    </w:p>
    <w:p w14:paraId="7D7C48A0" w14:textId="77777777" w:rsidR="00BA7ACD" w:rsidRPr="00EC51C2" w:rsidRDefault="00BA7ACD" w:rsidP="000A1F30">
      <w:pPr>
        <w:rPr>
          <w:rFonts w:ascii="Verdana" w:hAnsi="Verdana"/>
          <w:sz w:val="18"/>
          <w:szCs w:val="18"/>
        </w:rPr>
      </w:pPr>
    </w:p>
    <w:p w14:paraId="655BC148" w14:textId="77777777" w:rsidR="004F69CB" w:rsidRPr="004F69CB" w:rsidRDefault="004F69CB" w:rsidP="004F69CB">
      <w:pPr>
        <w:rPr>
          <w:rFonts w:ascii="Verdana" w:hAnsi="Verdana"/>
          <w:b/>
          <w:sz w:val="18"/>
          <w:szCs w:val="18"/>
        </w:rPr>
      </w:pPr>
    </w:p>
    <w:p w14:paraId="4AACDC51" w14:textId="77777777" w:rsidR="004F69CB" w:rsidRPr="004F69CB" w:rsidRDefault="004F69CB" w:rsidP="004F69CB">
      <w:pPr>
        <w:pStyle w:val="Lijstalinea"/>
        <w:ind w:left="360"/>
        <w:rPr>
          <w:rFonts w:ascii="Verdana" w:hAnsi="Verdana"/>
          <w:b/>
          <w:sz w:val="18"/>
          <w:szCs w:val="18"/>
        </w:rPr>
      </w:pPr>
    </w:p>
    <w:p w14:paraId="0D538213" w14:textId="29EB366A" w:rsidR="004F69CB" w:rsidRPr="004F69CB" w:rsidRDefault="00C73854" w:rsidP="004F69CB">
      <w:pPr>
        <w:rPr>
          <w:rFonts w:ascii="Verdana" w:hAnsi="Verdana"/>
          <w:b/>
          <w:sz w:val="18"/>
          <w:szCs w:val="18"/>
        </w:rPr>
      </w:pPr>
      <w:r w:rsidRPr="00C73854">
        <w:rPr>
          <w:noProof/>
        </w:rPr>
        <w:lastRenderedPageBreak/>
        <w:drawing>
          <wp:inline distT="0" distB="0" distL="0" distR="0" wp14:anchorId="2952A7C6" wp14:editId="1C9C491E">
            <wp:extent cx="5760720" cy="1903095"/>
            <wp:effectExtent l="0" t="0" r="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03095"/>
                    </a:xfrm>
                    <a:prstGeom prst="rect">
                      <a:avLst/>
                    </a:prstGeom>
                    <a:noFill/>
                    <a:ln>
                      <a:noFill/>
                    </a:ln>
                  </pic:spPr>
                </pic:pic>
              </a:graphicData>
            </a:graphic>
          </wp:inline>
        </w:drawing>
      </w:r>
    </w:p>
    <w:p w14:paraId="7269B8D1" w14:textId="648CEC56" w:rsidR="00FA5301" w:rsidRPr="00EC51C2" w:rsidRDefault="006E15DD">
      <w:pPr>
        <w:pStyle w:val="Lijstalinea"/>
        <w:numPr>
          <w:ilvl w:val="0"/>
          <w:numId w:val="15"/>
        </w:numPr>
        <w:rPr>
          <w:rFonts w:ascii="Verdana" w:hAnsi="Verdana"/>
          <w:b/>
          <w:sz w:val="18"/>
          <w:szCs w:val="18"/>
        </w:rPr>
      </w:pPr>
      <w:r w:rsidRPr="00EC51C2">
        <w:rPr>
          <w:rFonts w:ascii="Verdana" w:hAnsi="Verdana"/>
          <w:sz w:val="18"/>
          <w:szCs w:val="18"/>
        </w:rPr>
        <w:t xml:space="preserve">Het model laat in tabel 2c de totale loonkosten zien die resulteren bij de vermenigvuldiging van de totale personeelsinzet per categorie uit tabel 1a en de verwachte gemiddelde loonkosten per </w:t>
      </w:r>
      <w:r w:rsidR="00A03CC7" w:rsidRPr="00EC51C2">
        <w:rPr>
          <w:rFonts w:ascii="Verdana" w:hAnsi="Verdana"/>
          <w:sz w:val="18"/>
          <w:szCs w:val="18"/>
        </w:rPr>
        <w:t xml:space="preserve">FTE </w:t>
      </w:r>
      <w:r w:rsidRPr="00EC51C2">
        <w:rPr>
          <w:rFonts w:ascii="Verdana" w:hAnsi="Verdana"/>
          <w:sz w:val="18"/>
          <w:szCs w:val="18"/>
        </w:rPr>
        <w:t xml:space="preserve">in tabel 2b. </w:t>
      </w:r>
    </w:p>
    <w:p w14:paraId="5CE421F6" w14:textId="77777777" w:rsidR="00BA7ACD" w:rsidRPr="00EC51C2" w:rsidRDefault="001D69F1" w:rsidP="000A1F30">
      <w:pPr>
        <w:pStyle w:val="Lijstalinea"/>
        <w:numPr>
          <w:ilvl w:val="0"/>
          <w:numId w:val="15"/>
        </w:numPr>
        <w:rPr>
          <w:rFonts w:ascii="Verdana" w:hAnsi="Verdana"/>
          <w:b/>
          <w:sz w:val="18"/>
          <w:szCs w:val="18"/>
        </w:rPr>
      </w:pPr>
      <w:r w:rsidRPr="00EC51C2">
        <w:rPr>
          <w:rFonts w:ascii="Verdana" w:hAnsi="Verdana"/>
          <w:sz w:val="18"/>
          <w:szCs w:val="18"/>
        </w:rPr>
        <w:t xml:space="preserve">De totale loonkosten over het jaar 2018 worden gebruikt bij stap 4 (correctie cliëntenaantal/mix). Na afloop van het jaar zal voor de financiële verantwoording over het kwaliteitsbudget </w:t>
      </w:r>
      <w:r w:rsidR="00710131" w:rsidRPr="00EC51C2">
        <w:rPr>
          <w:rFonts w:ascii="Verdana" w:hAnsi="Verdana"/>
          <w:sz w:val="18"/>
          <w:szCs w:val="18"/>
        </w:rPr>
        <w:t xml:space="preserve">bij stap 4 </w:t>
      </w:r>
      <w:r w:rsidRPr="00EC51C2">
        <w:rPr>
          <w:rFonts w:ascii="Verdana" w:hAnsi="Verdana"/>
          <w:sz w:val="18"/>
          <w:szCs w:val="18"/>
        </w:rPr>
        <w:t xml:space="preserve">worden uitgegaan van de feitelijke totale loonkosten conform tabel 2c. </w:t>
      </w:r>
    </w:p>
    <w:p w14:paraId="36F7B3E8" w14:textId="2C3ED65C" w:rsidR="00A87800" w:rsidRPr="00EC51C2" w:rsidRDefault="007E7692" w:rsidP="000A1F30">
      <w:pPr>
        <w:rPr>
          <w:rFonts w:ascii="Verdana" w:hAnsi="Verdana"/>
          <w:b/>
          <w:sz w:val="18"/>
          <w:szCs w:val="18"/>
        </w:rPr>
      </w:pPr>
      <w:r w:rsidRPr="007E7692">
        <w:rPr>
          <w:noProof/>
        </w:rPr>
        <w:drawing>
          <wp:inline distT="0" distB="0" distL="0" distR="0" wp14:anchorId="2FA3D5B1" wp14:editId="7DA1D383">
            <wp:extent cx="5760720" cy="215455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154555"/>
                    </a:xfrm>
                    <a:prstGeom prst="rect">
                      <a:avLst/>
                    </a:prstGeom>
                    <a:noFill/>
                    <a:ln>
                      <a:noFill/>
                    </a:ln>
                  </pic:spPr>
                </pic:pic>
              </a:graphicData>
            </a:graphic>
          </wp:inline>
        </w:drawing>
      </w:r>
    </w:p>
    <w:p w14:paraId="57BDA771" w14:textId="77777777" w:rsidR="000A1F30" w:rsidRPr="00EC51C2" w:rsidRDefault="000A1F30">
      <w:pPr>
        <w:rPr>
          <w:rFonts w:ascii="Verdana" w:hAnsi="Verdana"/>
          <w:b/>
          <w:sz w:val="18"/>
          <w:szCs w:val="18"/>
        </w:rPr>
      </w:pPr>
      <w:r w:rsidRPr="00EC51C2">
        <w:rPr>
          <w:rFonts w:ascii="Verdana" w:hAnsi="Verdana"/>
          <w:b/>
          <w:sz w:val="18"/>
          <w:szCs w:val="18"/>
        </w:rPr>
        <w:br w:type="page"/>
      </w:r>
    </w:p>
    <w:p w14:paraId="21CD83ED" w14:textId="77777777" w:rsidR="00FA5301" w:rsidRPr="00EC51C2" w:rsidRDefault="00FA5301" w:rsidP="000A1F30">
      <w:pPr>
        <w:rPr>
          <w:rFonts w:ascii="Verdana" w:hAnsi="Verdana"/>
          <w:bCs/>
          <w:sz w:val="18"/>
          <w:szCs w:val="18"/>
        </w:rPr>
      </w:pPr>
    </w:p>
    <w:tbl>
      <w:tblPr>
        <w:tblStyle w:val="Tabelraster"/>
        <w:tblW w:w="17329" w:type="dxa"/>
        <w:tblLook w:val="04A0" w:firstRow="1" w:lastRow="0" w:firstColumn="1" w:lastColumn="0" w:noHBand="0" w:noVBand="1"/>
      </w:tblPr>
      <w:tblGrid>
        <w:gridCol w:w="1315"/>
        <w:gridCol w:w="8007"/>
        <w:gridCol w:w="8007"/>
      </w:tblGrid>
      <w:tr w:rsidR="000A1F30" w:rsidRPr="00EC51C2" w14:paraId="3BA4B0CE" w14:textId="77777777" w:rsidTr="000A1F30">
        <w:trPr>
          <w:trHeight w:val="454"/>
        </w:trPr>
        <w:tc>
          <w:tcPr>
            <w:tcW w:w="1315" w:type="dxa"/>
            <w:shd w:val="clear" w:color="auto" w:fill="9BBB59" w:themeFill="accent3"/>
            <w:vAlign w:val="center"/>
          </w:tcPr>
          <w:p w14:paraId="644AE7D3" w14:textId="77777777" w:rsidR="000A1F30" w:rsidRPr="00EC51C2" w:rsidRDefault="000A1F30" w:rsidP="00D155EC">
            <w:pPr>
              <w:rPr>
                <w:rFonts w:ascii="Verdana" w:hAnsi="Verdana"/>
                <w:b/>
                <w:sz w:val="18"/>
                <w:szCs w:val="18"/>
              </w:rPr>
            </w:pPr>
            <w:r w:rsidRPr="00EC51C2">
              <w:rPr>
                <w:rFonts w:ascii="Verdana" w:hAnsi="Verdana"/>
                <w:b/>
                <w:sz w:val="18"/>
                <w:szCs w:val="18"/>
              </w:rPr>
              <w:t>Stap 3</w:t>
            </w:r>
          </w:p>
        </w:tc>
        <w:tc>
          <w:tcPr>
            <w:tcW w:w="8007" w:type="dxa"/>
            <w:shd w:val="clear" w:color="auto" w:fill="9BBB59" w:themeFill="accent3"/>
            <w:vAlign w:val="center"/>
          </w:tcPr>
          <w:p w14:paraId="28AC637E" w14:textId="77777777" w:rsidR="000A1F30" w:rsidRPr="00EC51C2" w:rsidRDefault="000A1F30" w:rsidP="00D155EC">
            <w:pPr>
              <w:rPr>
                <w:rFonts w:ascii="Verdana" w:hAnsi="Verdana"/>
                <w:sz w:val="18"/>
                <w:szCs w:val="18"/>
              </w:rPr>
            </w:pPr>
            <w:r w:rsidRPr="00EC51C2">
              <w:rPr>
                <w:rFonts w:ascii="Verdana" w:hAnsi="Verdana"/>
                <w:sz w:val="18"/>
                <w:szCs w:val="18"/>
              </w:rPr>
              <w:t>Aantal fte inhuur zorgpersoneel en kosten van de inhuur zorgpersoneel</w:t>
            </w:r>
          </w:p>
        </w:tc>
        <w:tc>
          <w:tcPr>
            <w:tcW w:w="8007" w:type="dxa"/>
            <w:shd w:val="clear" w:color="auto" w:fill="9BBB59" w:themeFill="accent3"/>
          </w:tcPr>
          <w:p w14:paraId="7871AA71" w14:textId="77777777" w:rsidR="000A1F30" w:rsidRPr="00EC51C2" w:rsidRDefault="000A1F30" w:rsidP="00D155EC">
            <w:pPr>
              <w:rPr>
                <w:rFonts w:ascii="Verdana" w:hAnsi="Verdana"/>
                <w:sz w:val="18"/>
                <w:szCs w:val="18"/>
              </w:rPr>
            </w:pPr>
          </w:p>
        </w:tc>
      </w:tr>
    </w:tbl>
    <w:p w14:paraId="381F9D23" w14:textId="77777777" w:rsidR="00D155EC" w:rsidRPr="00EC51C2" w:rsidRDefault="00D155EC" w:rsidP="000A1F30">
      <w:pPr>
        <w:spacing w:after="0" w:line="240" w:lineRule="auto"/>
        <w:rPr>
          <w:rFonts w:ascii="Verdana" w:hAnsi="Verdana"/>
          <w:sz w:val="18"/>
          <w:szCs w:val="18"/>
        </w:rPr>
      </w:pPr>
    </w:p>
    <w:p w14:paraId="2FDC1A70" w14:textId="77777777" w:rsidR="00C00432" w:rsidRPr="00EC51C2" w:rsidRDefault="00FD4219" w:rsidP="00AF3872">
      <w:pPr>
        <w:rPr>
          <w:rFonts w:ascii="Verdana" w:hAnsi="Verdana"/>
          <w:sz w:val="18"/>
          <w:szCs w:val="18"/>
        </w:rPr>
      </w:pPr>
      <w:r w:rsidRPr="00EC51C2">
        <w:rPr>
          <w:rFonts w:ascii="Verdana" w:hAnsi="Verdana"/>
          <w:sz w:val="18"/>
          <w:szCs w:val="18"/>
        </w:rPr>
        <w:t xml:space="preserve">Behalve personeel in loondienst hebben </w:t>
      </w:r>
      <w:r w:rsidR="00710131" w:rsidRPr="00EC51C2">
        <w:rPr>
          <w:rFonts w:ascii="Verdana" w:hAnsi="Verdana"/>
          <w:sz w:val="18"/>
          <w:szCs w:val="18"/>
        </w:rPr>
        <w:t>zorgaanbieders</w:t>
      </w:r>
      <w:r w:rsidRPr="00EC51C2">
        <w:rPr>
          <w:rFonts w:ascii="Verdana" w:hAnsi="Verdana"/>
          <w:sz w:val="18"/>
          <w:szCs w:val="18"/>
        </w:rPr>
        <w:t xml:space="preserve"> ook ingehuurd flexibel personeel en ingehuurde zelfstandigen. De toe- of afname van het ingehuurde zorgpersoneel is dus ook van belang </w:t>
      </w:r>
      <w:r w:rsidR="00C00432" w:rsidRPr="00EC51C2">
        <w:rPr>
          <w:rFonts w:ascii="Verdana" w:hAnsi="Verdana"/>
          <w:sz w:val="18"/>
          <w:szCs w:val="18"/>
        </w:rPr>
        <w:t>voor</w:t>
      </w:r>
      <w:r w:rsidRPr="00EC51C2">
        <w:rPr>
          <w:rFonts w:ascii="Verdana" w:hAnsi="Verdana"/>
          <w:sz w:val="18"/>
          <w:szCs w:val="18"/>
        </w:rPr>
        <w:t xml:space="preserve"> de </w:t>
      </w:r>
      <w:r w:rsidR="00C00432" w:rsidRPr="00EC51C2">
        <w:rPr>
          <w:rFonts w:ascii="Verdana" w:hAnsi="Verdana"/>
          <w:sz w:val="18"/>
          <w:szCs w:val="18"/>
        </w:rPr>
        <w:t>ontwikkeling van de personeelsbezetting.</w:t>
      </w:r>
      <w:r w:rsidRPr="00EC51C2">
        <w:rPr>
          <w:rFonts w:ascii="Verdana" w:hAnsi="Verdana"/>
          <w:sz w:val="18"/>
          <w:szCs w:val="18"/>
        </w:rPr>
        <w:t xml:space="preserve"> </w:t>
      </w:r>
    </w:p>
    <w:p w14:paraId="29EF028C" w14:textId="76BEAE8D" w:rsidR="004E2D36" w:rsidRPr="00EC51C2" w:rsidRDefault="00C0134C" w:rsidP="004E2D36">
      <w:pPr>
        <w:pStyle w:val="Lijstalinea"/>
        <w:numPr>
          <w:ilvl w:val="0"/>
          <w:numId w:val="15"/>
        </w:numPr>
        <w:rPr>
          <w:rFonts w:ascii="Verdana" w:hAnsi="Verdana"/>
          <w:sz w:val="18"/>
          <w:szCs w:val="18"/>
        </w:rPr>
      </w:pPr>
      <w:r w:rsidRPr="00EC51C2">
        <w:rPr>
          <w:rFonts w:ascii="Verdana" w:hAnsi="Verdana"/>
          <w:sz w:val="18"/>
          <w:szCs w:val="18"/>
        </w:rPr>
        <w:t xml:space="preserve">Bij stap </w:t>
      </w:r>
      <w:r w:rsidR="00D155EC" w:rsidRPr="00EC51C2">
        <w:rPr>
          <w:rFonts w:ascii="Verdana" w:hAnsi="Verdana"/>
          <w:sz w:val="18"/>
          <w:szCs w:val="18"/>
        </w:rPr>
        <w:t>3</w:t>
      </w:r>
      <w:r w:rsidRPr="00EC51C2">
        <w:rPr>
          <w:rFonts w:ascii="Verdana" w:hAnsi="Verdana"/>
          <w:sz w:val="18"/>
          <w:szCs w:val="18"/>
        </w:rPr>
        <w:t xml:space="preserve"> </w:t>
      </w:r>
      <w:r w:rsidR="00D155EC" w:rsidRPr="00EC51C2">
        <w:rPr>
          <w:rFonts w:ascii="Verdana" w:hAnsi="Verdana"/>
          <w:sz w:val="18"/>
          <w:szCs w:val="18"/>
        </w:rPr>
        <w:t>geeft de</w:t>
      </w:r>
      <w:r w:rsidRPr="00EC51C2">
        <w:rPr>
          <w:rFonts w:ascii="Verdana" w:hAnsi="Verdana"/>
          <w:sz w:val="18"/>
          <w:szCs w:val="18"/>
        </w:rPr>
        <w:t xml:space="preserve"> instelling daarom a</w:t>
      </w:r>
      <w:r w:rsidR="00AF3872" w:rsidRPr="00EC51C2">
        <w:rPr>
          <w:rFonts w:ascii="Verdana" w:hAnsi="Verdana"/>
          <w:sz w:val="18"/>
          <w:szCs w:val="18"/>
        </w:rPr>
        <w:t xml:space="preserve">ansluitend bij </w:t>
      </w:r>
      <w:r w:rsidR="00CD4393" w:rsidRPr="00EC51C2">
        <w:rPr>
          <w:rFonts w:ascii="Verdana" w:hAnsi="Verdana"/>
          <w:sz w:val="18"/>
          <w:szCs w:val="18"/>
        </w:rPr>
        <w:t>het</w:t>
      </w:r>
      <w:r w:rsidR="00AF3872" w:rsidRPr="00EC51C2">
        <w:rPr>
          <w:rFonts w:ascii="Verdana" w:hAnsi="Verdana"/>
          <w:sz w:val="18"/>
          <w:szCs w:val="18"/>
        </w:rPr>
        <w:t xml:space="preserve"> kwaliteitsplan </w:t>
      </w:r>
      <w:r w:rsidR="00C00432" w:rsidRPr="00EC51C2">
        <w:rPr>
          <w:rFonts w:ascii="Verdana" w:hAnsi="Verdana"/>
          <w:sz w:val="18"/>
          <w:szCs w:val="18"/>
        </w:rPr>
        <w:t xml:space="preserve">(en de begroting van de instelling) aan hoe </w:t>
      </w:r>
      <w:r w:rsidR="00CD4393" w:rsidRPr="00EC51C2">
        <w:rPr>
          <w:rFonts w:ascii="Verdana" w:hAnsi="Verdana"/>
          <w:sz w:val="18"/>
          <w:szCs w:val="18"/>
        </w:rPr>
        <w:t>de inhuur van flexibel zorg</w:t>
      </w:r>
      <w:r w:rsidR="00AF3872" w:rsidRPr="00EC51C2">
        <w:rPr>
          <w:rFonts w:ascii="Verdana" w:hAnsi="Verdana"/>
          <w:sz w:val="18"/>
          <w:szCs w:val="18"/>
        </w:rPr>
        <w:t xml:space="preserve">personeel </w:t>
      </w:r>
      <w:r w:rsidR="00CD4393" w:rsidRPr="00EC51C2">
        <w:rPr>
          <w:rFonts w:ascii="Verdana" w:hAnsi="Verdana"/>
          <w:sz w:val="18"/>
          <w:szCs w:val="18"/>
        </w:rPr>
        <w:t xml:space="preserve">en/of zelfstandigen met zorgtaken zich naar verwachting ontwikkelt in </w:t>
      </w:r>
      <w:r w:rsidR="00AF3872" w:rsidRPr="00EC51C2">
        <w:rPr>
          <w:rFonts w:ascii="Verdana" w:hAnsi="Verdana"/>
          <w:sz w:val="18"/>
          <w:szCs w:val="18"/>
        </w:rPr>
        <w:t>de jaren 20</w:t>
      </w:r>
      <w:r w:rsidR="00925675">
        <w:rPr>
          <w:rFonts w:ascii="Verdana" w:hAnsi="Verdana"/>
          <w:sz w:val="18"/>
          <w:szCs w:val="18"/>
        </w:rPr>
        <w:t>20</w:t>
      </w:r>
      <w:r w:rsidR="00AF3872" w:rsidRPr="00EC51C2">
        <w:rPr>
          <w:rFonts w:ascii="Verdana" w:hAnsi="Verdana"/>
          <w:sz w:val="18"/>
          <w:szCs w:val="18"/>
        </w:rPr>
        <w:t>-2021 ten opzichte van 2018.</w:t>
      </w:r>
      <w:r w:rsidR="004E2D36" w:rsidRPr="00EC51C2">
        <w:rPr>
          <w:rFonts w:ascii="Verdana" w:hAnsi="Verdana"/>
          <w:sz w:val="18"/>
          <w:szCs w:val="18"/>
        </w:rPr>
        <w:t xml:space="preserve"> </w:t>
      </w:r>
    </w:p>
    <w:p w14:paraId="5669101C" w14:textId="2C029EA6" w:rsidR="004E2D36" w:rsidRPr="00EC51C2" w:rsidRDefault="004E2D36" w:rsidP="00A873DE">
      <w:pPr>
        <w:pStyle w:val="Lijstalinea"/>
        <w:numPr>
          <w:ilvl w:val="0"/>
          <w:numId w:val="15"/>
        </w:numPr>
        <w:rPr>
          <w:rFonts w:ascii="Verdana" w:hAnsi="Verdana"/>
          <w:sz w:val="18"/>
          <w:szCs w:val="18"/>
        </w:rPr>
      </w:pPr>
      <w:r w:rsidRPr="00EC51C2">
        <w:rPr>
          <w:rFonts w:ascii="Verdana" w:hAnsi="Verdana"/>
          <w:sz w:val="18"/>
          <w:szCs w:val="18"/>
        </w:rPr>
        <w:t xml:space="preserve">Deze opgave vindt zowel plaats in </w:t>
      </w:r>
      <w:r w:rsidR="00A03CC7" w:rsidRPr="00EC51C2">
        <w:rPr>
          <w:rFonts w:ascii="Verdana" w:hAnsi="Verdana"/>
          <w:sz w:val="18"/>
          <w:szCs w:val="18"/>
        </w:rPr>
        <w:t xml:space="preserve">FTE </w:t>
      </w:r>
      <w:r w:rsidRPr="00EC51C2">
        <w:rPr>
          <w:rFonts w:ascii="Verdana" w:hAnsi="Verdana"/>
          <w:sz w:val="18"/>
          <w:szCs w:val="18"/>
        </w:rPr>
        <w:t xml:space="preserve">als in euro. </w:t>
      </w:r>
      <w:r w:rsidR="00D358C3" w:rsidRPr="00EC51C2">
        <w:rPr>
          <w:rFonts w:ascii="Verdana" w:hAnsi="Verdana"/>
          <w:sz w:val="18"/>
          <w:szCs w:val="18"/>
        </w:rPr>
        <w:t xml:space="preserve">Zowel bij de </w:t>
      </w:r>
      <w:proofErr w:type="spellStart"/>
      <w:r w:rsidR="00A03CC7" w:rsidRPr="00EC51C2">
        <w:rPr>
          <w:rFonts w:ascii="Verdana" w:hAnsi="Verdana"/>
          <w:sz w:val="18"/>
          <w:szCs w:val="18"/>
        </w:rPr>
        <w:t>FTE’s</w:t>
      </w:r>
      <w:proofErr w:type="spellEnd"/>
      <w:r w:rsidR="00A03CC7" w:rsidRPr="00EC51C2">
        <w:rPr>
          <w:rFonts w:ascii="Verdana" w:hAnsi="Verdana"/>
          <w:sz w:val="18"/>
          <w:szCs w:val="18"/>
        </w:rPr>
        <w:t xml:space="preserve"> </w:t>
      </w:r>
      <w:r w:rsidR="00D358C3" w:rsidRPr="00EC51C2">
        <w:rPr>
          <w:rFonts w:ascii="Verdana" w:hAnsi="Verdana"/>
          <w:sz w:val="18"/>
          <w:szCs w:val="18"/>
        </w:rPr>
        <w:t xml:space="preserve">inhuur als bij het bedrag aan inhuur betreft het de definiëring van zorgpersoneel zoals opgenomen in </w:t>
      </w:r>
      <w:r w:rsidR="00925675">
        <w:rPr>
          <w:rFonts w:ascii="Verdana" w:hAnsi="Verdana"/>
          <w:sz w:val="18"/>
          <w:szCs w:val="18"/>
        </w:rPr>
        <w:t>het ‘</w:t>
      </w:r>
      <w:r w:rsidR="00925675" w:rsidRPr="00AB3B35">
        <w:rPr>
          <w:rFonts w:ascii="Verdana" w:hAnsi="Verdana"/>
          <w:sz w:val="18"/>
          <w:szCs w:val="18"/>
        </w:rPr>
        <w:t>Inkoopkader langdurige zorg 2021-2023</w:t>
      </w:r>
      <w:r w:rsidR="006C58DE">
        <w:rPr>
          <w:rFonts w:ascii="Verdana" w:hAnsi="Verdana"/>
          <w:sz w:val="18"/>
          <w:szCs w:val="18"/>
        </w:rPr>
        <w:t>’</w:t>
      </w:r>
      <w:r w:rsidR="006C58DE" w:rsidRPr="00AB3B35">
        <w:rPr>
          <w:rFonts w:ascii="Verdana" w:hAnsi="Verdana"/>
          <w:sz w:val="18"/>
          <w:szCs w:val="18"/>
        </w:rPr>
        <w:t xml:space="preserve"> </w:t>
      </w:r>
      <w:r w:rsidR="006C58DE" w:rsidRPr="00EC51C2">
        <w:rPr>
          <w:rFonts w:ascii="Verdana" w:hAnsi="Verdana"/>
          <w:sz w:val="18"/>
          <w:szCs w:val="18"/>
        </w:rPr>
        <w:t>(</w:t>
      </w:r>
      <w:r w:rsidR="00D358C3" w:rsidRPr="00EC51C2">
        <w:rPr>
          <w:rFonts w:ascii="Verdana" w:hAnsi="Verdana"/>
          <w:sz w:val="18"/>
          <w:szCs w:val="18"/>
        </w:rPr>
        <w:t>paragraaf 4.2.4)</w:t>
      </w:r>
      <w:r w:rsidR="00925675">
        <w:rPr>
          <w:rFonts w:ascii="Verdana" w:hAnsi="Verdana"/>
          <w:sz w:val="18"/>
          <w:szCs w:val="18"/>
        </w:rPr>
        <w:t>.</w:t>
      </w:r>
      <w:r w:rsidR="00925675" w:rsidRPr="00EC51C2" w:rsidDel="00925675">
        <w:rPr>
          <w:rFonts w:ascii="Verdana" w:hAnsi="Verdana"/>
          <w:sz w:val="18"/>
          <w:szCs w:val="18"/>
        </w:rPr>
        <w:t xml:space="preserve"> </w:t>
      </w:r>
      <w:r w:rsidRPr="00EC51C2">
        <w:rPr>
          <w:rFonts w:ascii="Verdana" w:hAnsi="Verdana"/>
          <w:sz w:val="18"/>
          <w:szCs w:val="18"/>
        </w:rPr>
        <w:t>De begrote mutatie van het inhuurbedrag in euro in 20</w:t>
      </w:r>
      <w:r w:rsidR="00A853AE" w:rsidRPr="00EC51C2">
        <w:rPr>
          <w:rFonts w:ascii="Verdana" w:hAnsi="Verdana"/>
          <w:sz w:val="18"/>
          <w:szCs w:val="18"/>
        </w:rPr>
        <w:t>2</w:t>
      </w:r>
      <w:r w:rsidR="00925675">
        <w:rPr>
          <w:rFonts w:ascii="Verdana" w:hAnsi="Verdana"/>
          <w:sz w:val="18"/>
          <w:szCs w:val="18"/>
        </w:rPr>
        <w:t>1</w:t>
      </w:r>
      <w:r w:rsidRPr="00EC51C2">
        <w:rPr>
          <w:rFonts w:ascii="Verdana" w:hAnsi="Verdana"/>
          <w:sz w:val="18"/>
          <w:szCs w:val="18"/>
        </w:rPr>
        <w:t xml:space="preserve"> ten opzichte van 2018 wordt meegenomen bij de </w:t>
      </w:r>
      <w:r w:rsidR="00B73DB8" w:rsidRPr="00EC51C2">
        <w:rPr>
          <w:rFonts w:ascii="Verdana" w:hAnsi="Verdana"/>
          <w:sz w:val="18"/>
          <w:szCs w:val="18"/>
        </w:rPr>
        <w:t>berekening</w:t>
      </w:r>
      <w:r w:rsidR="00655E03" w:rsidRPr="00EC51C2">
        <w:rPr>
          <w:rFonts w:ascii="Verdana" w:hAnsi="Verdana"/>
          <w:sz w:val="18"/>
          <w:szCs w:val="18"/>
        </w:rPr>
        <w:t xml:space="preserve"> </w:t>
      </w:r>
      <w:r w:rsidRPr="00EC51C2">
        <w:rPr>
          <w:rFonts w:ascii="Verdana" w:hAnsi="Verdana"/>
          <w:sz w:val="18"/>
          <w:szCs w:val="18"/>
        </w:rPr>
        <w:t>van de begroting van het kwaliteitsbudget 20</w:t>
      </w:r>
      <w:r w:rsidR="00A853AE" w:rsidRPr="00EC51C2">
        <w:rPr>
          <w:rFonts w:ascii="Verdana" w:hAnsi="Verdana"/>
          <w:sz w:val="18"/>
          <w:szCs w:val="18"/>
        </w:rPr>
        <w:t>2</w:t>
      </w:r>
      <w:r w:rsidR="00925675">
        <w:rPr>
          <w:rFonts w:ascii="Verdana" w:hAnsi="Verdana"/>
          <w:sz w:val="18"/>
          <w:szCs w:val="18"/>
        </w:rPr>
        <w:t>1</w:t>
      </w:r>
      <w:r w:rsidRPr="00EC51C2">
        <w:rPr>
          <w:rFonts w:ascii="Verdana" w:hAnsi="Verdana"/>
          <w:sz w:val="18"/>
          <w:szCs w:val="18"/>
        </w:rPr>
        <w:t>.</w:t>
      </w:r>
    </w:p>
    <w:p w14:paraId="179BE993" w14:textId="77777777" w:rsidR="00D358C3" w:rsidRPr="00EC51C2" w:rsidRDefault="00A873DE" w:rsidP="00D358C3">
      <w:pPr>
        <w:pStyle w:val="Lijstalinea"/>
        <w:numPr>
          <w:ilvl w:val="0"/>
          <w:numId w:val="15"/>
        </w:numPr>
        <w:rPr>
          <w:rFonts w:ascii="Verdana" w:hAnsi="Verdana"/>
          <w:sz w:val="18"/>
          <w:szCs w:val="18"/>
        </w:rPr>
      </w:pPr>
      <w:r w:rsidRPr="00EC51C2">
        <w:rPr>
          <w:rFonts w:ascii="Verdana" w:hAnsi="Verdana"/>
          <w:sz w:val="18"/>
          <w:szCs w:val="18"/>
        </w:rPr>
        <w:t xml:space="preserve">Na afloop van het jaar zal de </w:t>
      </w:r>
      <w:r w:rsidR="004E2D36" w:rsidRPr="00EC51C2">
        <w:rPr>
          <w:rFonts w:ascii="Verdana" w:hAnsi="Verdana"/>
          <w:sz w:val="18"/>
          <w:szCs w:val="18"/>
        </w:rPr>
        <w:t xml:space="preserve">feitelijk </w:t>
      </w:r>
      <w:r w:rsidRPr="00EC51C2">
        <w:rPr>
          <w:rFonts w:ascii="Verdana" w:hAnsi="Verdana"/>
          <w:sz w:val="18"/>
          <w:szCs w:val="18"/>
        </w:rPr>
        <w:t xml:space="preserve">gerealiseerde mutatie in de inhuur ten opzichte van 2018 worden verwerkt. </w:t>
      </w:r>
    </w:p>
    <w:p w14:paraId="535C795A" w14:textId="77777777" w:rsidR="007A2185" w:rsidRPr="00EC51C2" w:rsidRDefault="00D358C3" w:rsidP="007A2185">
      <w:pPr>
        <w:pStyle w:val="Lijstalinea"/>
        <w:numPr>
          <w:ilvl w:val="0"/>
          <w:numId w:val="15"/>
        </w:numPr>
        <w:rPr>
          <w:rFonts w:ascii="Verdana" w:hAnsi="Verdana"/>
          <w:sz w:val="18"/>
          <w:szCs w:val="18"/>
        </w:rPr>
      </w:pPr>
      <w:r w:rsidRPr="00EC51C2">
        <w:rPr>
          <w:rFonts w:ascii="Verdana" w:hAnsi="Verdana"/>
          <w:sz w:val="18"/>
          <w:szCs w:val="18"/>
        </w:rPr>
        <w:t xml:space="preserve">Opgave van de </w:t>
      </w:r>
      <w:proofErr w:type="spellStart"/>
      <w:r w:rsidR="00A03CC7" w:rsidRPr="00EC51C2">
        <w:rPr>
          <w:rFonts w:ascii="Verdana" w:hAnsi="Verdana"/>
          <w:sz w:val="18"/>
          <w:szCs w:val="18"/>
        </w:rPr>
        <w:t>FTE’s</w:t>
      </w:r>
      <w:proofErr w:type="spellEnd"/>
      <w:r w:rsidR="00A03CC7" w:rsidRPr="00EC51C2">
        <w:rPr>
          <w:rFonts w:ascii="Verdana" w:hAnsi="Verdana"/>
          <w:sz w:val="18"/>
          <w:szCs w:val="18"/>
        </w:rPr>
        <w:t xml:space="preserve"> </w:t>
      </w:r>
      <w:r w:rsidRPr="00EC51C2">
        <w:rPr>
          <w:rFonts w:ascii="Verdana" w:hAnsi="Verdana"/>
          <w:sz w:val="18"/>
          <w:szCs w:val="18"/>
        </w:rPr>
        <w:t xml:space="preserve">is nodig om –samen met de </w:t>
      </w:r>
      <w:proofErr w:type="spellStart"/>
      <w:r w:rsidR="00A03CC7" w:rsidRPr="00EC51C2">
        <w:rPr>
          <w:rFonts w:ascii="Verdana" w:hAnsi="Verdana"/>
          <w:sz w:val="18"/>
          <w:szCs w:val="18"/>
        </w:rPr>
        <w:t>FTE’s</w:t>
      </w:r>
      <w:proofErr w:type="spellEnd"/>
      <w:r w:rsidR="00A03CC7" w:rsidRPr="00EC51C2">
        <w:rPr>
          <w:rFonts w:ascii="Verdana" w:hAnsi="Verdana"/>
          <w:sz w:val="18"/>
          <w:szCs w:val="18"/>
        </w:rPr>
        <w:t xml:space="preserve"> </w:t>
      </w:r>
      <w:r w:rsidRPr="00EC51C2">
        <w:rPr>
          <w:rFonts w:ascii="Verdana" w:hAnsi="Verdana"/>
          <w:sz w:val="18"/>
          <w:szCs w:val="18"/>
        </w:rPr>
        <w:t>in loondienst uit stap 1</w:t>
      </w:r>
      <w:r w:rsidR="00655E03" w:rsidRPr="00EC51C2">
        <w:rPr>
          <w:rFonts w:ascii="Verdana" w:hAnsi="Verdana"/>
          <w:sz w:val="18"/>
          <w:szCs w:val="18"/>
        </w:rPr>
        <w:t>–</w:t>
      </w:r>
      <w:r w:rsidRPr="00EC51C2">
        <w:rPr>
          <w:rFonts w:ascii="Verdana" w:hAnsi="Verdana"/>
          <w:sz w:val="18"/>
          <w:szCs w:val="18"/>
        </w:rPr>
        <w:t xml:space="preserve"> te monitoren hoe de implementatie van de personeels</w:t>
      </w:r>
      <w:r w:rsidR="003F6BB3" w:rsidRPr="00EC51C2">
        <w:rPr>
          <w:rFonts w:ascii="Verdana" w:hAnsi="Verdana"/>
          <w:sz w:val="18"/>
          <w:szCs w:val="18"/>
        </w:rPr>
        <w:t>samenstelling</w:t>
      </w:r>
      <w:r w:rsidRPr="00EC51C2">
        <w:rPr>
          <w:rFonts w:ascii="Verdana" w:hAnsi="Verdana"/>
          <w:sz w:val="18"/>
          <w:szCs w:val="18"/>
        </w:rPr>
        <w:t xml:space="preserve"> uit het kwaliteitskader verloopt en om de </w:t>
      </w:r>
      <w:r w:rsidR="00655E03" w:rsidRPr="00EC51C2">
        <w:rPr>
          <w:rFonts w:ascii="Verdana" w:hAnsi="Verdana"/>
          <w:sz w:val="18"/>
          <w:szCs w:val="18"/>
        </w:rPr>
        <w:t>FTE</w:t>
      </w:r>
      <w:r w:rsidRPr="00EC51C2">
        <w:rPr>
          <w:rFonts w:ascii="Verdana" w:hAnsi="Verdana"/>
          <w:sz w:val="18"/>
          <w:szCs w:val="18"/>
        </w:rPr>
        <w:t>/cliëntratio inclusief inhuur te kunnen bepalen.</w:t>
      </w:r>
    </w:p>
    <w:p w14:paraId="1DA86071" w14:textId="731C6F19" w:rsidR="00BA7ACD" w:rsidRPr="00EC51C2" w:rsidRDefault="00710131" w:rsidP="00E64548">
      <w:pPr>
        <w:pStyle w:val="Lijstalinea"/>
        <w:numPr>
          <w:ilvl w:val="0"/>
          <w:numId w:val="15"/>
        </w:numPr>
        <w:rPr>
          <w:rFonts w:ascii="Verdana" w:hAnsi="Verdana"/>
          <w:sz w:val="18"/>
          <w:szCs w:val="18"/>
        </w:rPr>
      </w:pPr>
      <w:r w:rsidRPr="00EC51C2">
        <w:rPr>
          <w:rFonts w:ascii="Verdana" w:hAnsi="Verdana"/>
          <w:sz w:val="18"/>
          <w:szCs w:val="18"/>
        </w:rPr>
        <w:t xml:space="preserve">Ten opzichte van het kwaliteitsbudget </w:t>
      </w:r>
      <w:r w:rsidRPr="00611CFA">
        <w:rPr>
          <w:rFonts w:ascii="Verdana" w:hAnsi="Verdana"/>
          <w:sz w:val="18"/>
          <w:szCs w:val="18"/>
        </w:rPr>
        <w:t>20</w:t>
      </w:r>
      <w:r w:rsidR="00925675" w:rsidRPr="00611CFA">
        <w:rPr>
          <w:rFonts w:ascii="Verdana" w:hAnsi="Verdana"/>
          <w:sz w:val="18"/>
          <w:szCs w:val="18"/>
        </w:rPr>
        <w:t>20</w:t>
      </w:r>
      <w:r w:rsidRPr="00EC51C2">
        <w:rPr>
          <w:rFonts w:ascii="Verdana" w:hAnsi="Verdana"/>
          <w:sz w:val="18"/>
          <w:szCs w:val="18"/>
        </w:rPr>
        <w:t xml:space="preserve"> is het model aangepast, zodat zorgaanbieders die ten opzichte van 2018 hun personeel </w:t>
      </w:r>
      <w:r w:rsidR="003F6BB3" w:rsidRPr="00EC51C2">
        <w:rPr>
          <w:rFonts w:ascii="Verdana" w:hAnsi="Verdana"/>
          <w:sz w:val="18"/>
          <w:szCs w:val="18"/>
        </w:rPr>
        <w:t xml:space="preserve">niet </w:t>
      </w:r>
      <w:r w:rsidRPr="00EC51C2">
        <w:rPr>
          <w:rFonts w:ascii="Verdana" w:hAnsi="Verdana"/>
          <w:sz w:val="18"/>
          <w:szCs w:val="18"/>
        </w:rPr>
        <w:t xml:space="preserve">in loondienst </w:t>
      </w:r>
      <w:r w:rsidR="003F6BB3" w:rsidRPr="00EC51C2">
        <w:rPr>
          <w:rFonts w:ascii="Verdana" w:hAnsi="Verdana"/>
          <w:sz w:val="18"/>
          <w:szCs w:val="18"/>
        </w:rPr>
        <w:t xml:space="preserve">(PNIL) </w:t>
      </w:r>
      <w:r w:rsidRPr="00EC51C2">
        <w:rPr>
          <w:rFonts w:ascii="Verdana" w:hAnsi="Verdana"/>
          <w:sz w:val="18"/>
          <w:szCs w:val="18"/>
        </w:rPr>
        <w:t>afbouwen in 202</w:t>
      </w:r>
      <w:r w:rsidR="00965B47">
        <w:rPr>
          <w:rFonts w:ascii="Verdana" w:hAnsi="Verdana"/>
          <w:sz w:val="18"/>
          <w:szCs w:val="18"/>
        </w:rPr>
        <w:t>1</w:t>
      </w:r>
      <w:r w:rsidRPr="00EC51C2">
        <w:rPr>
          <w:rFonts w:ascii="Verdana" w:hAnsi="Verdana"/>
          <w:sz w:val="18"/>
          <w:szCs w:val="18"/>
        </w:rPr>
        <w:t xml:space="preserve"> een generieke compensatie ontvangen voor de doelmatigheidswinst die daarmee samenhangt. </w:t>
      </w:r>
    </w:p>
    <w:p w14:paraId="5F88945C" w14:textId="2C131B71" w:rsidR="00A87800" w:rsidRPr="00EC51C2" w:rsidRDefault="004103E7" w:rsidP="00E64548">
      <w:pPr>
        <w:rPr>
          <w:rFonts w:ascii="Verdana" w:hAnsi="Verdana"/>
          <w:sz w:val="18"/>
          <w:szCs w:val="18"/>
        </w:rPr>
      </w:pPr>
      <w:r w:rsidRPr="004103E7">
        <w:rPr>
          <w:noProof/>
        </w:rPr>
        <w:drawing>
          <wp:inline distT="0" distB="0" distL="0" distR="0" wp14:anchorId="20B89E93" wp14:editId="5182D9BF">
            <wp:extent cx="5760720" cy="101473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014730"/>
                    </a:xfrm>
                    <a:prstGeom prst="rect">
                      <a:avLst/>
                    </a:prstGeom>
                    <a:noFill/>
                    <a:ln>
                      <a:noFill/>
                    </a:ln>
                  </pic:spPr>
                </pic:pic>
              </a:graphicData>
            </a:graphic>
          </wp:inline>
        </w:drawing>
      </w:r>
    </w:p>
    <w:p w14:paraId="15B067F0" w14:textId="77777777" w:rsidR="008A3AD5" w:rsidRPr="00EC51C2" w:rsidRDefault="008A3AD5">
      <w:pPr>
        <w:rPr>
          <w:rFonts w:ascii="Verdana" w:hAnsi="Verdana"/>
          <w:sz w:val="18"/>
          <w:szCs w:val="18"/>
        </w:rPr>
      </w:pPr>
      <w:r w:rsidRPr="00EC51C2">
        <w:rPr>
          <w:rFonts w:ascii="Verdana" w:hAnsi="Verdana"/>
          <w:sz w:val="18"/>
          <w:szCs w:val="18"/>
        </w:rPr>
        <w:br w:type="page"/>
      </w:r>
    </w:p>
    <w:p w14:paraId="2B9025D9" w14:textId="77777777" w:rsidR="000A1F30" w:rsidRPr="00EC51C2" w:rsidRDefault="000A1F30" w:rsidP="000A1F30">
      <w:pPr>
        <w:spacing w:after="0"/>
        <w:rPr>
          <w:rFonts w:ascii="Verdana" w:hAnsi="Verdana"/>
          <w:sz w:val="18"/>
          <w:szCs w:val="18"/>
        </w:rPr>
      </w:pPr>
    </w:p>
    <w:tbl>
      <w:tblPr>
        <w:tblStyle w:val="Tabelraster"/>
        <w:tblW w:w="9322" w:type="dxa"/>
        <w:tblLook w:val="04A0" w:firstRow="1" w:lastRow="0" w:firstColumn="1" w:lastColumn="0" w:noHBand="0" w:noVBand="1"/>
      </w:tblPr>
      <w:tblGrid>
        <w:gridCol w:w="1315"/>
        <w:gridCol w:w="8007"/>
      </w:tblGrid>
      <w:tr w:rsidR="000258F8" w:rsidRPr="00EC51C2" w14:paraId="5C6C23B7" w14:textId="77777777" w:rsidTr="008942E0">
        <w:trPr>
          <w:trHeight w:val="454"/>
        </w:trPr>
        <w:tc>
          <w:tcPr>
            <w:tcW w:w="1315" w:type="dxa"/>
            <w:shd w:val="clear" w:color="auto" w:fill="9BBB59" w:themeFill="accent3"/>
            <w:vAlign w:val="center"/>
          </w:tcPr>
          <w:p w14:paraId="5408D07F" w14:textId="77777777" w:rsidR="000258F8" w:rsidRPr="00EC51C2" w:rsidRDefault="000258F8" w:rsidP="00F3616C">
            <w:pPr>
              <w:rPr>
                <w:rFonts w:ascii="Verdana" w:hAnsi="Verdana"/>
                <w:b/>
                <w:sz w:val="18"/>
                <w:szCs w:val="18"/>
              </w:rPr>
            </w:pPr>
            <w:r w:rsidRPr="00EC51C2">
              <w:rPr>
                <w:rFonts w:ascii="Verdana" w:hAnsi="Verdana"/>
                <w:b/>
                <w:sz w:val="18"/>
                <w:szCs w:val="18"/>
              </w:rPr>
              <w:t>Stap 4</w:t>
            </w:r>
          </w:p>
        </w:tc>
        <w:tc>
          <w:tcPr>
            <w:tcW w:w="8007" w:type="dxa"/>
            <w:shd w:val="clear" w:color="auto" w:fill="9BBB59" w:themeFill="accent3"/>
            <w:vAlign w:val="center"/>
          </w:tcPr>
          <w:p w14:paraId="713369BB" w14:textId="77777777" w:rsidR="000258F8" w:rsidRPr="00EC51C2" w:rsidRDefault="000258F8" w:rsidP="00F3616C">
            <w:pPr>
              <w:rPr>
                <w:rFonts w:ascii="Verdana" w:hAnsi="Verdana"/>
                <w:sz w:val="18"/>
                <w:szCs w:val="18"/>
              </w:rPr>
            </w:pPr>
            <w:r w:rsidRPr="00EC51C2">
              <w:rPr>
                <w:rFonts w:ascii="Verdana" w:hAnsi="Verdana"/>
                <w:sz w:val="18"/>
                <w:szCs w:val="18"/>
              </w:rPr>
              <w:t>Correctie cliëntenaantal/mix</w:t>
            </w:r>
          </w:p>
        </w:tc>
      </w:tr>
    </w:tbl>
    <w:p w14:paraId="3BA31C31" w14:textId="77777777" w:rsidR="00F3616C" w:rsidRPr="00EC51C2" w:rsidRDefault="00F3616C" w:rsidP="008942E0">
      <w:pPr>
        <w:pStyle w:val="Lijstalinea"/>
        <w:numPr>
          <w:ilvl w:val="0"/>
          <w:numId w:val="23"/>
        </w:numPr>
        <w:spacing w:before="240"/>
        <w:ind w:left="357" w:hanging="357"/>
        <w:rPr>
          <w:rFonts w:ascii="Verdana" w:hAnsi="Verdana"/>
          <w:sz w:val="18"/>
          <w:szCs w:val="18"/>
        </w:rPr>
      </w:pPr>
      <w:r w:rsidRPr="00EC51C2">
        <w:rPr>
          <w:rFonts w:ascii="Verdana" w:hAnsi="Verdana"/>
          <w:sz w:val="18"/>
          <w:szCs w:val="18"/>
        </w:rPr>
        <w:t xml:space="preserve">De </w:t>
      </w:r>
      <w:r w:rsidR="000258F8" w:rsidRPr="00EC51C2">
        <w:rPr>
          <w:rFonts w:ascii="Verdana" w:hAnsi="Verdana"/>
          <w:sz w:val="18"/>
          <w:szCs w:val="18"/>
        </w:rPr>
        <w:t xml:space="preserve">extra middelen voor het kwaliteitskader zijn bedoeld om de FTE/cliëntratio te verhogen. Dat betekent dat de personeelsbegroting van een instelling </w:t>
      </w:r>
      <w:r w:rsidR="006565B9" w:rsidRPr="00EC51C2">
        <w:rPr>
          <w:rFonts w:ascii="Verdana" w:hAnsi="Verdana"/>
          <w:sz w:val="18"/>
          <w:szCs w:val="18"/>
        </w:rPr>
        <w:t xml:space="preserve">(uit de stappen 1 tot en met 3) </w:t>
      </w:r>
      <w:r w:rsidR="000258F8" w:rsidRPr="00EC51C2">
        <w:rPr>
          <w:rFonts w:ascii="Verdana" w:hAnsi="Verdana"/>
          <w:sz w:val="18"/>
          <w:szCs w:val="18"/>
        </w:rPr>
        <w:t>moet worden gecorrigeerd voor de ontwikkeling van het aantal cliënten</w:t>
      </w:r>
      <w:r w:rsidR="001B7449" w:rsidRPr="00EC51C2">
        <w:rPr>
          <w:rFonts w:ascii="Verdana" w:hAnsi="Verdana"/>
          <w:sz w:val="18"/>
          <w:szCs w:val="18"/>
        </w:rPr>
        <w:t xml:space="preserve"> per prestatie</w:t>
      </w:r>
      <w:r w:rsidR="000258F8" w:rsidRPr="00EC51C2">
        <w:rPr>
          <w:rFonts w:ascii="Verdana" w:hAnsi="Verdana"/>
          <w:sz w:val="18"/>
          <w:szCs w:val="18"/>
        </w:rPr>
        <w:t xml:space="preserve">. </w:t>
      </w:r>
    </w:p>
    <w:p w14:paraId="7B7D4F2D" w14:textId="77777777" w:rsidR="006565B9" w:rsidRPr="00EC51C2" w:rsidRDefault="000258F8" w:rsidP="008942E0">
      <w:pPr>
        <w:pStyle w:val="Lijstalinea"/>
        <w:numPr>
          <w:ilvl w:val="0"/>
          <w:numId w:val="23"/>
        </w:numPr>
        <w:spacing w:before="240"/>
        <w:ind w:left="357" w:hanging="357"/>
        <w:rPr>
          <w:rFonts w:ascii="Verdana" w:hAnsi="Verdana"/>
          <w:sz w:val="18"/>
          <w:szCs w:val="18"/>
        </w:rPr>
      </w:pPr>
      <w:r w:rsidRPr="00EC51C2">
        <w:rPr>
          <w:rFonts w:ascii="Verdana" w:hAnsi="Verdana"/>
          <w:sz w:val="18"/>
          <w:szCs w:val="18"/>
        </w:rPr>
        <w:t xml:space="preserve">Zonder correctie zal sprake zijn van een dubbele bekostiging bij </w:t>
      </w:r>
      <w:r w:rsidR="00710131" w:rsidRPr="00EC51C2">
        <w:rPr>
          <w:rFonts w:ascii="Verdana" w:hAnsi="Verdana"/>
          <w:sz w:val="18"/>
          <w:szCs w:val="18"/>
        </w:rPr>
        <w:t>zorgaanbieders</w:t>
      </w:r>
      <w:r w:rsidRPr="00EC51C2">
        <w:rPr>
          <w:rFonts w:ascii="Verdana" w:hAnsi="Verdana"/>
          <w:sz w:val="18"/>
          <w:szCs w:val="18"/>
        </w:rPr>
        <w:t xml:space="preserve"> met een toenemend aantal cliënten. </w:t>
      </w:r>
      <w:r w:rsidR="005600A2" w:rsidRPr="00EC51C2">
        <w:rPr>
          <w:rFonts w:ascii="Verdana" w:hAnsi="Verdana"/>
          <w:sz w:val="18"/>
          <w:szCs w:val="18"/>
        </w:rPr>
        <w:t xml:space="preserve">Door de demografische ontwikkelingen is de verwachting dat het aantal verpleeghuiscliënten de komende jaren verder zal toenemen. </w:t>
      </w:r>
    </w:p>
    <w:p w14:paraId="11536737" w14:textId="77777777" w:rsidR="00FA5301" w:rsidRPr="00EC51C2" w:rsidRDefault="000258F8">
      <w:pPr>
        <w:pStyle w:val="Lijstalinea"/>
        <w:numPr>
          <w:ilvl w:val="1"/>
          <w:numId w:val="23"/>
        </w:numPr>
        <w:spacing w:before="240"/>
        <w:rPr>
          <w:rFonts w:ascii="Verdana" w:hAnsi="Verdana"/>
          <w:sz w:val="18"/>
          <w:szCs w:val="18"/>
        </w:rPr>
      </w:pPr>
      <w:r w:rsidRPr="00EC51C2">
        <w:rPr>
          <w:rFonts w:ascii="Verdana" w:hAnsi="Verdana"/>
          <w:sz w:val="18"/>
          <w:szCs w:val="18"/>
        </w:rPr>
        <w:t>Een instelling die bijvoorbeeld een locatie uitbreid</w:t>
      </w:r>
      <w:r w:rsidR="005600A2" w:rsidRPr="00EC51C2">
        <w:rPr>
          <w:rFonts w:ascii="Verdana" w:hAnsi="Verdana"/>
          <w:sz w:val="18"/>
          <w:szCs w:val="18"/>
        </w:rPr>
        <w:t xml:space="preserve">t of een extra locatie opent om zorg te kunnen verlenen aan </w:t>
      </w:r>
      <w:r w:rsidR="00C15E3B" w:rsidRPr="00EC51C2">
        <w:rPr>
          <w:rFonts w:ascii="Verdana" w:hAnsi="Verdana"/>
          <w:sz w:val="18"/>
          <w:szCs w:val="18"/>
        </w:rPr>
        <w:t>een toenemend</w:t>
      </w:r>
      <w:r w:rsidR="005600A2" w:rsidRPr="00EC51C2">
        <w:rPr>
          <w:rFonts w:ascii="Verdana" w:hAnsi="Verdana"/>
          <w:sz w:val="18"/>
          <w:szCs w:val="18"/>
        </w:rPr>
        <w:t xml:space="preserve"> aantal </w:t>
      </w:r>
      <w:r w:rsidRPr="00EC51C2">
        <w:rPr>
          <w:rFonts w:ascii="Verdana" w:hAnsi="Verdana"/>
          <w:sz w:val="18"/>
          <w:szCs w:val="18"/>
        </w:rPr>
        <w:t xml:space="preserve">cliënten, </w:t>
      </w:r>
      <w:r w:rsidR="002162F7" w:rsidRPr="00EC51C2">
        <w:rPr>
          <w:rFonts w:ascii="Verdana" w:hAnsi="Verdana"/>
          <w:sz w:val="18"/>
          <w:szCs w:val="18"/>
        </w:rPr>
        <w:t xml:space="preserve">zal via het basistarief </w:t>
      </w:r>
      <w:r w:rsidR="00C15E3B" w:rsidRPr="00EC51C2">
        <w:rPr>
          <w:rFonts w:ascii="Verdana" w:hAnsi="Verdana"/>
          <w:sz w:val="18"/>
          <w:szCs w:val="18"/>
        </w:rPr>
        <w:t>hogere reguliere</w:t>
      </w:r>
      <w:r w:rsidR="002162F7" w:rsidRPr="00EC51C2">
        <w:rPr>
          <w:rFonts w:ascii="Verdana" w:hAnsi="Verdana"/>
          <w:sz w:val="18"/>
          <w:szCs w:val="18"/>
        </w:rPr>
        <w:t xml:space="preserve"> zz</w:t>
      </w:r>
      <w:r w:rsidR="00C15E3B" w:rsidRPr="00EC51C2">
        <w:rPr>
          <w:rFonts w:ascii="Verdana" w:hAnsi="Verdana"/>
          <w:sz w:val="18"/>
          <w:szCs w:val="18"/>
        </w:rPr>
        <w:t>p/</w:t>
      </w:r>
      <w:proofErr w:type="spellStart"/>
      <w:r w:rsidR="002162F7" w:rsidRPr="00EC51C2">
        <w:rPr>
          <w:rFonts w:ascii="Verdana" w:hAnsi="Verdana"/>
          <w:sz w:val="18"/>
          <w:szCs w:val="18"/>
        </w:rPr>
        <w:t>vpt</w:t>
      </w:r>
      <w:proofErr w:type="spellEnd"/>
      <w:r w:rsidR="00C15E3B" w:rsidRPr="00EC51C2">
        <w:rPr>
          <w:rFonts w:ascii="Verdana" w:hAnsi="Verdana"/>
          <w:sz w:val="18"/>
          <w:szCs w:val="18"/>
        </w:rPr>
        <w:t xml:space="preserve">-inkomsten realiseren. Daaruit kan extra personeel worden betaald dat nodig is om bij een toenemend aantal cliënten de </w:t>
      </w:r>
      <w:r w:rsidR="00655E03" w:rsidRPr="00EC51C2">
        <w:rPr>
          <w:rFonts w:ascii="Verdana" w:hAnsi="Verdana"/>
          <w:sz w:val="18"/>
          <w:szCs w:val="18"/>
        </w:rPr>
        <w:t>FTE</w:t>
      </w:r>
      <w:r w:rsidR="002162F7" w:rsidRPr="00EC51C2">
        <w:rPr>
          <w:rFonts w:ascii="Verdana" w:hAnsi="Verdana"/>
          <w:sz w:val="18"/>
          <w:szCs w:val="18"/>
        </w:rPr>
        <w:t>/cliëntratio</w:t>
      </w:r>
      <w:r w:rsidR="00C15E3B" w:rsidRPr="00EC51C2">
        <w:rPr>
          <w:rFonts w:ascii="Verdana" w:hAnsi="Verdana"/>
          <w:sz w:val="18"/>
          <w:szCs w:val="18"/>
        </w:rPr>
        <w:t xml:space="preserve"> gelijk te houden</w:t>
      </w:r>
      <w:r w:rsidR="002162F7" w:rsidRPr="00EC51C2">
        <w:rPr>
          <w:rFonts w:ascii="Verdana" w:hAnsi="Verdana"/>
          <w:sz w:val="18"/>
          <w:szCs w:val="18"/>
        </w:rPr>
        <w:t xml:space="preserve">. </w:t>
      </w:r>
    </w:p>
    <w:p w14:paraId="47AB51D1" w14:textId="77777777" w:rsidR="00A30312" w:rsidRPr="00EC51C2" w:rsidRDefault="000258F8" w:rsidP="00A30312">
      <w:pPr>
        <w:pStyle w:val="Lijstalinea"/>
        <w:numPr>
          <w:ilvl w:val="1"/>
          <w:numId w:val="23"/>
        </w:numPr>
        <w:spacing w:before="240"/>
        <w:rPr>
          <w:rFonts w:ascii="Verdana" w:hAnsi="Verdana"/>
          <w:sz w:val="18"/>
          <w:szCs w:val="18"/>
        </w:rPr>
      </w:pPr>
      <w:r w:rsidRPr="00EC51C2">
        <w:rPr>
          <w:rFonts w:ascii="Verdana" w:hAnsi="Verdana"/>
          <w:sz w:val="18"/>
          <w:szCs w:val="18"/>
        </w:rPr>
        <w:t>Andersom zal een instelling met een dalend aantal cliënten minder reguliere zzp/</w:t>
      </w:r>
      <w:proofErr w:type="spellStart"/>
      <w:r w:rsidRPr="00EC51C2">
        <w:rPr>
          <w:rFonts w:ascii="Verdana" w:hAnsi="Verdana"/>
          <w:sz w:val="18"/>
          <w:szCs w:val="18"/>
        </w:rPr>
        <w:t>vpt</w:t>
      </w:r>
      <w:proofErr w:type="spellEnd"/>
      <w:r w:rsidRPr="00EC51C2">
        <w:rPr>
          <w:rFonts w:ascii="Verdana" w:hAnsi="Verdana"/>
          <w:sz w:val="18"/>
          <w:szCs w:val="18"/>
        </w:rPr>
        <w:t xml:space="preserve">-inkomsten ontvangen. </w:t>
      </w:r>
      <w:r w:rsidR="00C15E3B" w:rsidRPr="00EC51C2">
        <w:rPr>
          <w:rFonts w:ascii="Verdana" w:hAnsi="Verdana"/>
          <w:sz w:val="18"/>
          <w:szCs w:val="18"/>
        </w:rPr>
        <w:t xml:space="preserve">Uit de inkomsten via het basistarief kunnen in dat geval minder zorgverleners worden betaald (in lijn met het lagere aantal cliënten). </w:t>
      </w:r>
    </w:p>
    <w:p w14:paraId="126E988B" w14:textId="77777777" w:rsidR="00FA5301" w:rsidRPr="00EC51C2" w:rsidRDefault="000258F8" w:rsidP="000E4D22">
      <w:pPr>
        <w:pStyle w:val="Lijstalinea"/>
        <w:spacing w:before="240"/>
        <w:ind w:left="0"/>
        <w:rPr>
          <w:rFonts w:ascii="Verdana" w:hAnsi="Verdana"/>
          <w:sz w:val="18"/>
          <w:szCs w:val="18"/>
        </w:rPr>
      </w:pPr>
      <w:r w:rsidRPr="00EC51C2">
        <w:rPr>
          <w:rFonts w:ascii="Verdana" w:hAnsi="Verdana"/>
          <w:sz w:val="18"/>
          <w:szCs w:val="18"/>
        </w:rPr>
        <w:t xml:space="preserve">Het model houdt hiermee rekening. Een instelling met een dalend aantal cliënten en een gelijkblijvende personeelsbezetting komt hierdoor </w:t>
      </w:r>
      <w:r w:rsidR="00C15E3B" w:rsidRPr="00EC51C2">
        <w:rPr>
          <w:rFonts w:ascii="Verdana" w:hAnsi="Verdana"/>
          <w:sz w:val="18"/>
          <w:szCs w:val="18"/>
        </w:rPr>
        <w:t xml:space="preserve">bijvoorbeeld </w:t>
      </w:r>
      <w:r w:rsidRPr="00EC51C2">
        <w:rPr>
          <w:rFonts w:ascii="Verdana" w:hAnsi="Verdana"/>
          <w:sz w:val="18"/>
          <w:szCs w:val="18"/>
        </w:rPr>
        <w:t xml:space="preserve">toch in aanmerking voor middelen vanuit het kwaliteitsbudget, aangezien in dat geval de </w:t>
      </w:r>
      <w:r w:rsidR="00655E03" w:rsidRPr="00EC51C2">
        <w:rPr>
          <w:rFonts w:ascii="Verdana" w:hAnsi="Verdana"/>
          <w:sz w:val="18"/>
          <w:szCs w:val="18"/>
        </w:rPr>
        <w:t>FTE</w:t>
      </w:r>
      <w:r w:rsidRPr="00EC51C2">
        <w:rPr>
          <w:rFonts w:ascii="Verdana" w:hAnsi="Verdana"/>
          <w:sz w:val="18"/>
          <w:szCs w:val="18"/>
        </w:rPr>
        <w:t xml:space="preserve">/cliëntratio toeneemt. </w:t>
      </w:r>
    </w:p>
    <w:p w14:paraId="37DEC944" w14:textId="77777777" w:rsidR="00467A0C" w:rsidRPr="00EC51C2" w:rsidRDefault="00467A0C" w:rsidP="00467A0C">
      <w:pPr>
        <w:pStyle w:val="Lijstalinea"/>
        <w:spacing w:before="240"/>
        <w:ind w:left="1080"/>
        <w:rPr>
          <w:rFonts w:ascii="Verdana" w:hAnsi="Verdana"/>
          <w:sz w:val="18"/>
          <w:szCs w:val="18"/>
        </w:rPr>
      </w:pPr>
    </w:p>
    <w:p w14:paraId="78DBF517" w14:textId="5EF4AF37" w:rsidR="00670585" w:rsidRPr="00EC51C2" w:rsidRDefault="00BD5307" w:rsidP="00467A0C">
      <w:pPr>
        <w:pStyle w:val="Lijstalinea"/>
        <w:numPr>
          <w:ilvl w:val="0"/>
          <w:numId w:val="23"/>
        </w:numPr>
        <w:spacing w:before="240"/>
        <w:ind w:left="357" w:hanging="357"/>
        <w:rPr>
          <w:rFonts w:ascii="Verdana" w:hAnsi="Verdana"/>
          <w:sz w:val="18"/>
          <w:szCs w:val="18"/>
        </w:rPr>
      </w:pPr>
      <w:r>
        <w:rPr>
          <w:rFonts w:ascii="Verdana" w:hAnsi="Verdana"/>
          <w:sz w:val="18"/>
          <w:szCs w:val="18"/>
        </w:rPr>
        <w:t xml:space="preserve">In tabel 4 vult u </w:t>
      </w:r>
      <w:r w:rsidR="00F3616C" w:rsidRPr="00EC51C2">
        <w:rPr>
          <w:rFonts w:ascii="Verdana" w:hAnsi="Verdana"/>
          <w:sz w:val="18"/>
          <w:szCs w:val="18"/>
        </w:rPr>
        <w:t>de verwachte aantallen declareerbare dagen per prestatie</w:t>
      </w:r>
      <w:r w:rsidR="006565B9" w:rsidRPr="00EC51C2">
        <w:rPr>
          <w:rFonts w:ascii="Verdana" w:hAnsi="Verdana"/>
          <w:sz w:val="18"/>
          <w:szCs w:val="18"/>
        </w:rPr>
        <w:t xml:space="preserve"> </w:t>
      </w:r>
      <w:r>
        <w:rPr>
          <w:rFonts w:ascii="Verdana" w:hAnsi="Verdana"/>
          <w:sz w:val="18"/>
          <w:szCs w:val="18"/>
        </w:rPr>
        <w:t>202</w:t>
      </w:r>
      <w:r w:rsidR="002652BE">
        <w:rPr>
          <w:rFonts w:ascii="Verdana" w:hAnsi="Verdana"/>
          <w:sz w:val="18"/>
          <w:szCs w:val="18"/>
        </w:rPr>
        <w:t>1.</w:t>
      </w:r>
      <w:r w:rsidR="00F3616C" w:rsidRPr="00EC51C2">
        <w:rPr>
          <w:rFonts w:ascii="Verdana" w:hAnsi="Verdana"/>
          <w:sz w:val="18"/>
          <w:szCs w:val="18"/>
        </w:rPr>
        <w:t xml:space="preserve"> </w:t>
      </w:r>
    </w:p>
    <w:p w14:paraId="295666D2" w14:textId="77777777" w:rsidR="00133F71" w:rsidRPr="00EC51C2" w:rsidRDefault="00133F71" w:rsidP="00133F71">
      <w:pPr>
        <w:pStyle w:val="Lijstalinea"/>
        <w:numPr>
          <w:ilvl w:val="0"/>
          <w:numId w:val="23"/>
        </w:numPr>
        <w:spacing w:before="240"/>
        <w:rPr>
          <w:rFonts w:ascii="Verdana" w:hAnsi="Verdana"/>
          <w:sz w:val="18"/>
          <w:szCs w:val="18"/>
        </w:rPr>
      </w:pPr>
      <w:r w:rsidRPr="00EC51C2">
        <w:rPr>
          <w:rFonts w:ascii="Verdana" w:hAnsi="Verdana"/>
          <w:sz w:val="18"/>
          <w:szCs w:val="18"/>
        </w:rPr>
        <w:t xml:space="preserve">Tabel 4 bevat een cijfervoorbeeld voor de fictieve instelling. </w:t>
      </w:r>
    </w:p>
    <w:p w14:paraId="72B35CAE" w14:textId="77777777" w:rsidR="00404730" w:rsidRPr="00EC51C2" w:rsidRDefault="00467A0C" w:rsidP="00467A0C">
      <w:pPr>
        <w:pStyle w:val="Lijstalinea"/>
        <w:numPr>
          <w:ilvl w:val="1"/>
          <w:numId w:val="23"/>
        </w:numPr>
        <w:spacing w:before="240"/>
        <w:rPr>
          <w:rFonts w:ascii="Verdana" w:hAnsi="Verdana"/>
          <w:sz w:val="18"/>
          <w:szCs w:val="18"/>
        </w:rPr>
      </w:pPr>
      <w:r w:rsidRPr="00EC51C2">
        <w:rPr>
          <w:rFonts w:ascii="Verdana" w:hAnsi="Verdana"/>
          <w:sz w:val="18"/>
          <w:szCs w:val="18"/>
        </w:rPr>
        <w:t>R</w:t>
      </w:r>
      <w:r w:rsidR="00D32E00" w:rsidRPr="00EC51C2">
        <w:rPr>
          <w:rFonts w:ascii="Verdana" w:hAnsi="Verdana"/>
          <w:sz w:val="18"/>
          <w:szCs w:val="18"/>
        </w:rPr>
        <w:t>egel 4.</w:t>
      </w:r>
      <w:r w:rsidR="00404730" w:rsidRPr="00EC51C2">
        <w:rPr>
          <w:rFonts w:ascii="Verdana" w:hAnsi="Verdana"/>
          <w:sz w:val="18"/>
          <w:szCs w:val="18"/>
        </w:rPr>
        <w:t>2</w:t>
      </w:r>
      <w:r w:rsidR="00D32E00" w:rsidRPr="00EC51C2">
        <w:rPr>
          <w:rFonts w:ascii="Verdana" w:hAnsi="Verdana"/>
          <w:sz w:val="18"/>
          <w:szCs w:val="18"/>
        </w:rPr>
        <w:t xml:space="preserve"> </w:t>
      </w:r>
      <w:r w:rsidRPr="00EC51C2">
        <w:rPr>
          <w:rFonts w:ascii="Verdana" w:hAnsi="Verdana"/>
          <w:sz w:val="18"/>
          <w:szCs w:val="18"/>
        </w:rPr>
        <w:t xml:space="preserve">berekent </w:t>
      </w:r>
      <w:r w:rsidR="00D32E00" w:rsidRPr="00EC51C2">
        <w:rPr>
          <w:rFonts w:ascii="Verdana" w:hAnsi="Verdana"/>
          <w:sz w:val="18"/>
          <w:szCs w:val="18"/>
        </w:rPr>
        <w:t xml:space="preserve">de inkomstenontwikkeling </w:t>
      </w:r>
      <w:r w:rsidR="006F01AD" w:rsidRPr="00EC51C2">
        <w:rPr>
          <w:rFonts w:ascii="Verdana" w:hAnsi="Verdana"/>
          <w:sz w:val="18"/>
          <w:szCs w:val="18"/>
        </w:rPr>
        <w:t>vanuit zzp/</w:t>
      </w:r>
      <w:proofErr w:type="spellStart"/>
      <w:r w:rsidR="006F01AD" w:rsidRPr="00EC51C2">
        <w:rPr>
          <w:rFonts w:ascii="Verdana" w:hAnsi="Verdana"/>
          <w:sz w:val="18"/>
          <w:szCs w:val="18"/>
        </w:rPr>
        <w:t>vpt</w:t>
      </w:r>
      <w:proofErr w:type="spellEnd"/>
      <w:r w:rsidR="006F01AD" w:rsidRPr="00EC51C2">
        <w:rPr>
          <w:rFonts w:ascii="Verdana" w:hAnsi="Verdana"/>
          <w:sz w:val="18"/>
          <w:szCs w:val="18"/>
        </w:rPr>
        <w:t xml:space="preserve"> </w:t>
      </w:r>
      <w:r w:rsidR="00D32E00" w:rsidRPr="00EC51C2">
        <w:rPr>
          <w:rFonts w:ascii="Verdana" w:hAnsi="Verdana"/>
          <w:sz w:val="18"/>
          <w:szCs w:val="18"/>
        </w:rPr>
        <w:t xml:space="preserve">op </w:t>
      </w:r>
      <w:r w:rsidR="00670585" w:rsidRPr="00EC51C2">
        <w:rPr>
          <w:rFonts w:ascii="Verdana" w:hAnsi="Verdana"/>
          <w:sz w:val="18"/>
          <w:szCs w:val="18"/>
        </w:rPr>
        <w:t>basis van</w:t>
      </w:r>
      <w:r w:rsidR="00404730" w:rsidRPr="00EC51C2">
        <w:rPr>
          <w:rFonts w:ascii="Verdana" w:hAnsi="Verdana"/>
          <w:sz w:val="18"/>
          <w:szCs w:val="18"/>
        </w:rPr>
        <w:t xml:space="preserve">: </w:t>
      </w:r>
    </w:p>
    <w:p w14:paraId="65F7699B" w14:textId="77777777" w:rsidR="00404730" w:rsidRPr="00EC51C2" w:rsidRDefault="00404730" w:rsidP="00404730">
      <w:pPr>
        <w:pStyle w:val="Lijstalinea"/>
        <w:numPr>
          <w:ilvl w:val="2"/>
          <w:numId w:val="23"/>
        </w:numPr>
        <w:spacing w:before="240"/>
        <w:rPr>
          <w:rFonts w:ascii="Verdana" w:hAnsi="Verdana"/>
          <w:sz w:val="18"/>
          <w:szCs w:val="18"/>
        </w:rPr>
      </w:pPr>
      <w:r w:rsidRPr="00EC51C2">
        <w:rPr>
          <w:rFonts w:ascii="Verdana" w:hAnsi="Verdana"/>
          <w:sz w:val="18"/>
          <w:szCs w:val="18"/>
        </w:rPr>
        <w:t>het aantal opgegeven dagen per prestatie</w:t>
      </w:r>
    </w:p>
    <w:p w14:paraId="5F9B5CD0" w14:textId="78B42474" w:rsidR="00404730" w:rsidRPr="0031100D" w:rsidRDefault="00D32E00" w:rsidP="00404730">
      <w:pPr>
        <w:pStyle w:val="Lijstalinea"/>
        <w:numPr>
          <w:ilvl w:val="2"/>
          <w:numId w:val="23"/>
        </w:numPr>
        <w:spacing w:before="240"/>
        <w:rPr>
          <w:rFonts w:ascii="Verdana" w:hAnsi="Verdana"/>
          <w:sz w:val="18"/>
          <w:szCs w:val="18"/>
        </w:rPr>
      </w:pPr>
      <w:r w:rsidRPr="0031100D">
        <w:rPr>
          <w:rFonts w:ascii="Verdana" w:hAnsi="Verdana"/>
          <w:sz w:val="18"/>
          <w:szCs w:val="18"/>
        </w:rPr>
        <w:t xml:space="preserve">het </w:t>
      </w:r>
      <w:r w:rsidR="00404730" w:rsidRPr="0031100D">
        <w:rPr>
          <w:rFonts w:ascii="Verdana" w:hAnsi="Verdana"/>
          <w:sz w:val="18"/>
          <w:szCs w:val="18"/>
        </w:rPr>
        <w:t xml:space="preserve">NZa-tarief </w:t>
      </w:r>
      <w:r w:rsidR="006F175B" w:rsidRPr="0031100D">
        <w:rPr>
          <w:rFonts w:ascii="Verdana" w:hAnsi="Verdana"/>
          <w:sz w:val="18"/>
          <w:szCs w:val="18"/>
        </w:rPr>
        <w:t>2020</w:t>
      </w:r>
      <w:r w:rsidR="00E12E7B" w:rsidRPr="0031100D">
        <w:rPr>
          <w:rFonts w:ascii="Verdana" w:hAnsi="Verdana"/>
          <w:sz w:val="18"/>
          <w:szCs w:val="18"/>
        </w:rPr>
        <w:t xml:space="preserve"> </w:t>
      </w:r>
      <w:r w:rsidR="00404730" w:rsidRPr="0031100D">
        <w:rPr>
          <w:rFonts w:ascii="Verdana" w:hAnsi="Verdana"/>
          <w:sz w:val="18"/>
          <w:szCs w:val="18"/>
        </w:rPr>
        <w:t xml:space="preserve">per prestatie en </w:t>
      </w:r>
    </w:p>
    <w:p w14:paraId="66447AEA" w14:textId="02515065" w:rsidR="00404730" w:rsidRPr="0031100D" w:rsidRDefault="00404730" w:rsidP="00404730">
      <w:pPr>
        <w:pStyle w:val="Lijstalinea"/>
        <w:numPr>
          <w:ilvl w:val="2"/>
          <w:numId w:val="23"/>
        </w:numPr>
        <w:spacing w:before="240"/>
        <w:rPr>
          <w:rFonts w:ascii="Verdana" w:hAnsi="Verdana"/>
          <w:sz w:val="18"/>
          <w:szCs w:val="18"/>
        </w:rPr>
      </w:pPr>
      <w:r w:rsidRPr="0031100D">
        <w:rPr>
          <w:rFonts w:ascii="Verdana" w:hAnsi="Verdana"/>
          <w:sz w:val="18"/>
          <w:szCs w:val="18"/>
        </w:rPr>
        <w:t xml:space="preserve">het </w:t>
      </w:r>
      <w:r w:rsidR="00E12E7B" w:rsidRPr="0031100D">
        <w:rPr>
          <w:rFonts w:ascii="Verdana" w:hAnsi="Verdana"/>
          <w:sz w:val="18"/>
          <w:szCs w:val="18"/>
        </w:rPr>
        <w:t xml:space="preserve">gemiddeld afgesproken </w:t>
      </w:r>
      <w:r w:rsidR="006C58DE" w:rsidRPr="0031100D">
        <w:rPr>
          <w:rFonts w:ascii="Verdana" w:hAnsi="Verdana"/>
          <w:sz w:val="18"/>
          <w:szCs w:val="18"/>
        </w:rPr>
        <w:t>tariefpercentage</w:t>
      </w:r>
      <w:r w:rsidR="00A30312" w:rsidRPr="0031100D">
        <w:rPr>
          <w:rFonts w:ascii="Verdana" w:hAnsi="Verdana"/>
          <w:sz w:val="18"/>
          <w:szCs w:val="18"/>
        </w:rPr>
        <w:t xml:space="preserve"> </w:t>
      </w:r>
      <w:r w:rsidR="00E12E7B" w:rsidRPr="0031100D">
        <w:rPr>
          <w:rFonts w:ascii="Verdana" w:hAnsi="Verdana"/>
          <w:sz w:val="18"/>
          <w:szCs w:val="18"/>
        </w:rPr>
        <w:t xml:space="preserve">in </w:t>
      </w:r>
      <w:r w:rsidR="006F175B" w:rsidRPr="0031100D">
        <w:rPr>
          <w:rFonts w:ascii="Verdana" w:hAnsi="Verdana"/>
          <w:sz w:val="18"/>
          <w:szCs w:val="18"/>
        </w:rPr>
        <w:t>2019</w:t>
      </w:r>
      <w:r w:rsidR="00E12E7B" w:rsidRPr="0031100D">
        <w:rPr>
          <w:rFonts w:ascii="Verdana" w:hAnsi="Verdana"/>
          <w:sz w:val="18"/>
          <w:szCs w:val="18"/>
        </w:rPr>
        <w:t xml:space="preserve"> </w:t>
      </w:r>
      <w:r w:rsidR="00FC48AB" w:rsidRPr="0031100D">
        <w:rPr>
          <w:rFonts w:ascii="Verdana" w:hAnsi="Verdana"/>
          <w:sz w:val="18"/>
          <w:szCs w:val="18"/>
        </w:rPr>
        <w:t>van</w:t>
      </w:r>
      <w:r w:rsidRPr="0031100D">
        <w:rPr>
          <w:rFonts w:ascii="Verdana" w:hAnsi="Verdana"/>
          <w:sz w:val="18"/>
          <w:szCs w:val="18"/>
        </w:rPr>
        <w:t xml:space="preserve"> het zorgkantoor (regel 4.1)</w:t>
      </w:r>
      <w:r w:rsidR="006575C7">
        <w:rPr>
          <w:rFonts w:ascii="Verdana" w:hAnsi="Verdana"/>
          <w:sz w:val="18"/>
          <w:szCs w:val="18"/>
        </w:rPr>
        <w:t xml:space="preserve"> </w:t>
      </w:r>
      <w:r w:rsidR="007F76F9">
        <w:rPr>
          <w:rFonts w:ascii="Verdana" w:hAnsi="Verdana"/>
          <w:sz w:val="18"/>
          <w:szCs w:val="18"/>
        </w:rPr>
        <w:t>(</w:t>
      </w:r>
      <w:r w:rsidR="006575C7">
        <w:rPr>
          <w:rFonts w:ascii="Verdana" w:hAnsi="Verdana"/>
          <w:sz w:val="18"/>
          <w:szCs w:val="18"/>
        </w:rPr>
        <w:t xml:space="preserve">om </w:t>
      </w:r>
      <w:r w:rsidR="006F412F">
        <w:rPr>
          <w:rFonts w:ascii="Verdana" w:hAnsi="Verdana"/>
          <w:sz w:val="18"/>
          <w:szCs w:val="18"/>
        </w:rPr>
        <w:t xml:space="preserve">in 2020 </w:t>
      </w:r>
      <w:r w:rsidR="006575C7">
        <w:rPr>
          <w:rFonts w:ascii="Verdana" w:hAnsi="Verdana"/>
          <w:sz w:val="18"/>
          <w:szCs w:val="18"/>
        </w:rPr>
        <w:t>een zelfde lij</w:t>
      </w:r>
      <w:r w:rsidR="006F412F">
        <w:rPr>
          <w:rFonts w:ascii="Verdana" w:hAnsi="Verdana"/>
          <w:sz w:val="18"/>
          <w:szCs w:val="18"/>
        </w:rPr>
        <w:t xml:space="preserve">n </w:t>
      </w:r>
      <w:r w:rsidR="006575C7">
        <w:rPr>
          <w:rFonts w:ascii="Verdana" w:hAnsi="Verdana"/>
          <w:sz w:val="18"/>
          <w:szCs w:val="18"/>
        </w:rPr>
        <w:t xml:space="preserve">aan te houden </w:t>
      </w:r>
      <w:r w:rsidR="007F76F9">
        <w:rPr>
          <w:rFonts w:ascii="Verdana" w:hAnsi="Verdana"/>
          <w:sz w:val="18"/>
          <w:szCs w:val="18"/>
        </w:rPr>
        <w:t>als in 2019)</w:t>
      </w:r>
      <w:r w:rsidR="00D32E00" w:rsidRPr="0031100D">
        <w:rPr>
          <w:rFonts w:ascii="Verdana" w:hAnsi="Verdana"/>
          <w:sz w:val="18"/>
          <w:szCs w:val="18"/>
        </w:rPr>
        <w:t xml:space="preserve">. </w:t>
      </w:r>
    </w:p>
    <w:p w14:paraId="6C2C5DAA" w14:textId="77777777" w:rsidR="00FA5301" w:rsidRPr="00EC51C2" w:rsidRDefault="00404730" w:rsidP="00060074">
      <w:pPr>
        <w:pStyle w:val="Lijstalinea"/>
        <w:numPr>
          <w:ilvl w:val="1"/>
          <w:numId w:val="23"/>
        </w:numPr>
        <w:spacing w:before="240"/>
        <w:rPr>
          <w:rFonts w:ascii="Verdana" w:hAnsi="Verdana"/>
          <w:sz w:val="18"/>
          <w:szCs w:val="18"/>
        </w:rPr>
      </w:pPr>
      <w:r w:rsidRPr="00EC51C2">
        <w:rPr>
          <w:rFonts w:ascii="Verdana" w:hAnsi="Verdana"/>
          <w:sz w:val="18"/>
          <w:szCs w:val="18"/>
        </w:rPr>
        <w:t>R</w:t>
      </w:r>
      <w:r w:rsidR="00467A0C" w:rsidRPr="00EC51C2">
        <w:rPr>
          <w:rFonts w:ascii="Verdana" w:hAnsi="Verdana"/>
          <w:sz w:val="18"/>
          <w:szCs w:val="18"/>
        </w:rPr>
        <w:t>egel 4.</w:t>
      </w:r>
      <w:r w:rsidRPr="00EC51C2">
        <w:rPr>
          <w:rFonts w:ascii="Verdana" w:hAnsi="Verdana"/>
          <w:sz w:val="18"/>
          <w:szCs w:val="18"/>
        </w:rPr>
        <w:t>3</w:t>
      </w:r>
      <w:r w:rsidR="00467A0C" w:rsidRPr="00EC51C2">
        <w:rPr>
          <w:rFonts w:ascii="Verdana" w:hAnsi="Verdana"/>
          <w:sz w:val="18"/>
          <w:szCs w:val="18"/>
        </w:rPr>
        <w:t xml:space="preserve"> </w:t>
      </w:r>
      <w:r w:rsidR="00670585" w:rsidRPr="00EC51C2">
        <w:rPr>
          <w:rFonts w:ascii="Verdana" w:hAnsi="Verdana"/>
          <w:sz w:val="18"/>
          <w:szCs w:val="18"/>
        </w:rPr>
        <w:t>presenteert</w:t>
      </w:r>
      <w:r w:rsidR="00467A0C" w:rsidRPr="00EC51C2">
        <w:rPr>
          <w:rFonts w:ascii="Verdana" w:hAnsi="Verdana"/>
          <w:sz w:val="18"/>
          <w:szCs w:val="18"/>
        </w:rPr>
        <w:t xml:space="preserve"> de </w:t>
      </w:r>
      <w:r w:rsidR="00D32E00" w:rsidRPr="00EC51C2">
        <w:rPr>
          <w:rFonts w:ascii="Verdana" w:hAnsi="Verdana"/>
          <w:sz w:val="18"/>
          <w:szCs w:val="18"/>
        </w:rPr>
        <w:t xml:space="preserve">mutatie </w:t>
      </w:r>
      <w:r w:rsidR="00670585" w:rsidRPr="00EC51C2">
        <w:rPr>
          <w:rFonts w:ascii="Verdana" w:hAnsi="Verdana"/>
          <w:sz w:val="18"/>
          <w:szCs w:val="18"/>
        </w:rPr>
        <w:t xml:space="preserve">van de inkomsten </w:t>
      </w:r>
      <w:r w:rsidR="00D358C3" w:rsidRPr="00EC51C2">
        <w:rPr>
          <w:rFonts w:ascii="Verdana" w:hAnsi="Verdana"/>
          <w:sz w:val="18"/>
          <w:szCs w:val="18"/>
        </w:rPr>
        <w:t>ten opzichte van basisjaar 2018</w:t>
      </w:r>
      <w:r w:rsidR="00D32E00" w:rsidRPr="00EC51C2">
        <w:rPr>
          <w:rFonts w:ascii="Verdana" w:hAnsi="Verdana"/>
          <w:sz w:val="18"/>
          <w:szCs w:val="18"/>
        </w:rPr>
        <w:t>.</w:t>
      </w:r>
      <w:r w:rsidR="00060074" w:rsidRPr="00EC51C2">
        <w:rPr>
          <w:rFonts w:ascii="Verdana" w:hAnsi="Verdana"/>
          <w:sz w:val="18"/>
          <w:szCs w:val="18"/>
        </w:rPr>
        <w:t xml:space="preserve"> </w:t>
      </w:r>
      <w:r w:rsidR="00133F71" w:rsidRPr="00EC51C2">
        <w:rPr>
          <w:rFonts w:ascii="Verdana" w:hAnsi="Verdana"/>
          <w:i/>
          <w:sz w:val="18"/>
          <w:szCs w:val="18"/>
        </w:rPr>
        <w:t xml:space="preserve">Voor de fictieve instelling in tabel 4 betreft het een plus van </w:t>
      </w:r>
      <w:r w:rsidR="00E12E7B" w:rsidRPr="00EC51C2">
        <w:rPr>
          <w:rFonts w:ascii="Verdana" w:hAnsi="Verdana"/>
          <w:i/>
          <w:sz w:val="18"/>
          <w:szCs w:val="18"/>
        </w:rPr>
        <w:t xml:space="preserve">ruim 2 </w:t>
      </w:r>
      <w:r w:rsidR="00133F71" w:rsidRPr="00EC51C2">
        <w:rPr>
          <w:rFonts w:ascii="Verdana" w:hAnsi="Verdana"/>
          <w:i/>
          <w:sz w:val="18"/>
          <w:szCs w:val="18"/>
        </w:rPr>
        <w:t>miljoen euro.</w:t>
      </w:r>
    </w:p>
    <w:p w14:paraId="7D1229DB" w14:textId="77777777" w:rsidR="00133F71" w:rsidRPr="00EC51C2" w:rsidRDefault="00D32E00">
      <w:pPr>
        <w:pStyle w:val="Lijstalinea"/>
        <w:numPr>
          <w:ilvl w:val="1"/>
          <w:numId w:val="23"/>
        </w:numPr>
        <w:spacing w:before="240"/>
        <w:rPr>
          <w:rFonts w:ascii="Verdana" w:hAnsi="Verdana"/>
          <w:i/>
          <w:sz w:val="18"/>
          <w:szCs w:val="18"/>
        </w:rPr>
      </w:pPr>
      <w:r w:rsidRPr="00EC51C2">
        <w:rPr>
          <w:rFonts w:ascii="Verdana" w:hAnsi="Verdana"/>
          <w:sz w:val="18"/>
          <w:szCs w:val="18"/>
        </w:rPr>
        <w:t>R</w:t>
      </w:r>
      <w:r w:rsidR="00D358C3" w:rsidRPr="00EC51C2">
        <w:rPr>
          <w:rFonts w:ascii="Verdana" w:hAnsi="Verdana"/>
          <w:sz w:val="18"/>
          <w:szCs w:val="18"/>
        </w:rPr>
        <w:t>egel 4.</w:t>
      </w:r>
      <w:r w:rsidR="00670585" w:rsidRPr="00EC51C2">
        <w:rPr>
          <w:rFonts w:ascii="Verdana" w:hAnsi="Verdana"/>
          <w:sz w:val="18"/>
          <w:szCs w:val="18"/>
        </w:rPr>
        <w:t>4</w:t>
      </w:r>
      <w:r w:rsidR="00F24076" w:rsidRPr="00EC51C2">
        <w:rPr>
          <w:rFonts w:ascii="Verdana" w:hAnsi="Verdana"/>
          <w:sz w:val="18"/>
          <w:szCs w:val="18"/>
        </w:rPr>
        <w:t xml:space="preserve"> berekent</w:t>
      </w:r>
      <w:r w:rsidR="009651C8" w:rsidRPr="00EC51C2">
        <w:rPr>
          <w:rFonts w:ascii="Verdana" w:hAnsi="Verdana"/>
          <w:sz w:val="18"/>
          <w:szCs w:val="18"/>
        </w:rPr>
        <w:t xml:space="preserve"> het aandeel van de </w:t>
      </w:r>
      <w:r w:rsidRPr="00EC51C2">
        <w:rPr>
          <w:rFonts w:ascii="Verdana" w:hAnsi="Verdana"/>
          <w:sz w:val="18"/>
          <w:szCs w:val="18"/>
        </w:rPr>
        <w:t xml:space="preserve">personeelskosten </w:t>
      </w:r>
      <w:r w:rsidR="009651C8" w:rsidRPr="00EC51C2">
        <w:rPr>
          <w:rFonts w:ascii="Verdana" w:hAnsi="Verdana"/>
          <w:sz w:val="18"/>
          <w:szCs w:val="18"/>
        </w:rPr>
        <w:t>in de omzet</w:t>
      </w:r>
      <w:r w:rsidR="00670585" w:rsidRPr="00EC51C2">
        <w:rPr>
          <w:rFonts w:ascii="Verdana" w:hAnsi="Verdana"/>
          <w:sz w:val="18"/>
          <w:szCs w:val="18"/>
        </w:rPr>
        <w:t xml:space="preserve"> in het basisjaar 2018. De gegevens hiervoor worden opgehaald uit de tabellen over loondienst (tabel</w:t>
      </w:r>
      <w:r w:rsidR="000973E9" w:rsidRPr="00EC51C2">
        <w:rPr>
          <w:rFonts w:ascii="Verdana" w:hAnsi="Verdana"/>
          <w:sz w:val="18"/>
          <w:szCs w:val="18"/>
        </w:rPr>
        <w:t> </w:t>
      </w:r>
      <w:r w:rsidR="00670585" w:rsidRPr="00EC51C2">
        <w:rPr>
          <w:rFonts w:ascii="Verdana" w:hAnsi="Verdana"/>
          <w:sz w:val="18"/>
          <w:szCs w:val="18"/>
        </w:rPr>
        <w:t>2c)</w:t>
      </w:r>
      <w:r w:rsidR="006F01AD" w:rsidRPr="00EC51C2">
        <w:rPr>
          <w:rFonts w:ascii="Verdana" w:hAnsi="Verdana"/>
          <w:sz w:val="18"/>
          <w:szCs w:val="18"/>
        </w:rPr>
        <w:t xml:space="preserve">, over </w:t>
      </w:r>
      <w:r w:rsidR="00670585" w:rsidRPr="00EC51C2">
        <w:rPr>
          <w:rFonts w:ascii="Verdana" w:hAnsi="Verdana"/>
          <w:sz w:val="18"/>
          <w:szCs w:val="18"/>
        </w:rPr>
        <w:t>inhuur (tabel 3)</w:t>
      </w:r>
      <w:r w:rsidR="006F01AD" w:rsidRPr="00EC51C2">
        <w:rPr>
          <w:rFonts w:ascii="Verdana" w:hAnsi="Verdana"/>
          <w:sz w:val="18"/>
          <w:szCs w:val="18"/>
        </w:rPr>
        <w:t xml:space="preserve"> respectievelijk over de </w:t>
      </w:r>
      <w:r w:rsidR="00670585" w:rsidRPr="00EC51C2">
        <w:rPr>
          <w:rFonts w:ascii="Verdana" w:hAnsi="Verdana"/>
          <w:sz w:val="18"/>
          <w:szCs w:val="18"/>
        </w:rPr>
        <w:t xml:space="preserve">omzet </w:t>
      </w:r>
      <w:r w:rsidR="006F01AD" w:rsidRPr="00EC51C2">
        <w:rPr>
          <w:rFonts w:ascii="Verdana" w:hAnsi="Verdana"/>
          <w:sz w:val="18"/>
          <w:szCs w:val="18"/>
        </w:rPr>
        <w:t>(tabel 4, regel 4.2)</w:t>
      </w:r>
      <w:r w:rsidR="009651C8" w:rsidRPr="00EC51C2">
        <w:rPr>
          <w:rFonts w:ascii="Verdana" w:hAnsi="Verdana"/>
          <w:sz w:val="18"/>
          <w:szCs w:val="18"/>
        </w:rPr>
        <w:t>.</w:t>
      </w:r>
      <w:r w:rsidR="00133F71" w:rsidRPr="00EC51C2">
        <w:rPr>
          <w:rFonts w:ascii="Verdana" w:hAnsi="Verdana"/>
          <w:sz w:val="18"/>
          <w:szCs w:val="18"/>
        </w:rPr>
        <w:t xml:space="preserve"> </w:t>
      </w:r>
    </w:p>
    <w:p w14:paraId="3CDCB45D" w14:textId="77777777" w:rsidR="000A07DA" w:rsidRPr="00EC51C2" w:rsidRDefault="00133F71" w:rsidP="000A07DA">
      <w:pPr>
        <w:pStyle w:val="Lijstalinea"/>
        <w:spacing w:before="240"/>
        <w:ind w:left="1080"/>
        <w:rPr>
          <w:rFonts w:ascii="Verdana" w:hAnsi="Verdana"/>
          <w:i/>
          <w:sz w:val="18"/>
          <w:szCs w:val="18"/>
        </w:rPr>
      </w:pPr>
      <w:r w:rsidRPr="00EC51C2">
        <w:rPr>
          <w:rFonts w:ascii="Verdana" w:hAnsi="Verdana"/>
          <w:i/>
          <w:sz w:val="18"/>
          <w:szCs w:val="18"/>
        </w:rPr>
        <w:t>Voor de fictieve instelling gaat het om een aandeel van 4</w:t>
      </w:r>
      <w:r w:rsidR="007D29FB" w:rsidRPr="00EC51C2">
        <w:rPr>
          <w:rFonts w:ascii="Verdana" w:hAnsi="Verdana"/>
          <w:i/>
          <w:sz w:val="18"/>
          <w:szCs w:val="18"/>
        </w:rPr>
        <w:t>5</w:t>
      </w:r>
      <w:r w:rsidRPr="00EC51C2">
        <w:rPr>
          <w:rFonts w:ascii="Verdana" w:hAnsi="Verdana"/>
          <w:i/>
          <w:sz w:val="18"/>
          <w:szCs w:val="18"/>
        </w:rPr>
        <w:t>,</w:t>
      </w:r>
      <w:r w:rsidR="000973E9" w:rsidRPr="00EC51C2">
        <w:rPr>
          <w:rFonts w:ascii="Verdana" w:hAnsi="Verdana"/>
          <w:i/>
          <w:sz w:val="18"/>
          <w:szCs w:val="18"/>
        </w:rPr>
        <w:t>2</w:t>
      </w:r>
      <w:r w:rsidRPr="00EC51C2">
        <w:rPr>
          <w:rFonts w:ascii="Verdana" w:hAnsi="Verdana"/>
          <w:i/>
          <w:sz w:val="18"/>
          <w:szCs w:val="18"/>
        </w:rPr>
        <w:t>%.</w:t>
      </w:r>
    </w:p>
    <w:p w14:paraId="7A002CB9" w14:textId="77777777" w:rsidR="00FC48AB" w:rsidRPr="00EC51C2" w:rsidRDefault="00D32E00" w:rsidP="000A07DA">
      <w:pPr>
        <w:pStyle w:val="Lijstalinea"/>
        <w:numPr>
          <w:ilvl w:val="0"/>
          <w:numId w:val="28"/>
        </w:numPr>
        <w:spacing w:before="240"/>
        <w:rPr>
          <w:rFonts w:ascii="Verdana" w:hAnsi="Verdana"/>
          <w:i/>
          <w:sz w:val="18"/>
          <w:szCs w:val="18"/>
        </w:rPr>
      </w:pPr>
      <w:r w:rsidRPr="00EC51C2">
        <w:rPr>
          <w:rFonts w:ascii="Verdana" w:hAnsi="Verdana"/>
          <w:sz w:val="18"/>
          <w:szCs w:val="18"/>
        </w:rPr>
        <w:t>Regel 4.</w:t>
      </w:r>
      <w:r w:rsidR="006F01AD" w:rsidRPr="00EC51C2">
        <w:rPr>
          <w:rFonts w:ascii="Verdana" w:hAnsi="Verdana"/>
          <w:sz w:val="18"/>
          <w:szCs w:val="18"/>
        </w:rPr>
        <w:t>5</w:t>
      </w:r>
      <w:r w:rsidRPr="00EC51C2">
        <w:rPr>
          <w:rFonts w:ascii="Verdana" w:hAnsi="Verdana"/>
          <w:sz w:val="18"/>
          <w:szCs w:val="18"/>
        </w:rPr>
        <w:t xml:space="preserve"> berekent </w:t>
      </w:r>
      <w:r w:rsidR="000A07DA" w:rsidRPr="00EC51C2">
        <w:rPr>
          <w:rFonts w:ascii="Verdana" w:hAnsi="Verdana"/>
          <w:sz w:val="18"/>
          <w:szCs w:val="18"/>
        </w:rPr>
        <w:t>op basis van regel 4.3 en 4.4 welk bedrag de fictieve instelling vanuit de hogere inkomsten uit het basistarief zelf reeds kan inzetten voor extra personeel.</w:t>
      </w:r>
    </w:p>
    <w:p w14:paraId="73C0A659" w14:textId="77777777" w:rsidR="00FC48AB" w:rsidRPr="00EC51C2" w:rsidRDefault="00FC48AB" w:rsidP="00FC48AB">
      <w:pPr>
        <w:pStyle w:val="Lijstalinea"/>
        <w:spacing w:before="240"/>
        <w:ind w:left="1080"/>
        <w:rPr>
          <w:rFonts w:ascii="Verdana" w:hAnsi="Verdana"/>
          <w:sz w:val="18"/>
          <w:szCs w:val="18"/>
        </w:rPr>
      </w:pPr>
      <w:r w:rsidRPr="00EC51C2">
        <w:rPr>
          <w:rFonts w:ascii="Verdana" w:hAnsi="Verdana"/>
          <w:i/>
          <w:sz w:val="18"/>
          <w:szCs w:val="18"/>
        </w:rPr>
        <w:t xml:space="preserve">Voor de fictieve instelling gaat het om een correctie van (afgerond) </w:t>
      </w:r>
      <w:r w:rsidR="00E12E7B" w:rsidRPr="00EC51C2">
        <w:rPr>
          <w:rFonts w:ascii="Verdana" w:hAnsi="Verdana"/>
          <w:i/>
          <w:sz w:val="18"/>
          <w:szCs w:val="18"/>
        </w:rPr>
        <w:t>1 miljoen</w:t>
      </w:r>
      <w:r w:rsidRPr="00EC51C2">
        <w:rPr>
          <w:rFonts w:ascii="Verdana" w:hAnsi="Verdana"/>
          <w:i/>
          <w:sz w:val="18"/>
          <w:szCs w:val="18"/>
        </w:rPr>
        <w:t xml:space="preserve"> euro. </w:t>
      </w:r>
    </w:p>
    <w:p w14:paraId="40BA88F6" w14:textId="77777777" w:rsidR="00FC48AB" w:rsidRPr="00EC51C2" w:rsidRDefault="00FC48AB" w:rsidP="00FC48AB">
      <w:pPr>
        <w:pStyle w:val="Lijstalinea"/>
        <w:numPr>
          <w:ilvl w:val="1"/>
          <w:numId w:val="23"/>
        </w:numPr>
        <w:spacing w:before="240"/>
        <w:rPr>
          <w:rFonts w:ascii="Verdana" w:hAnsi="Verdana"/>
          <w:sz w:val="18"/>
          <w:szCs w:val="18"/>
        </w:rPr>
      </w:pPr>
      <w:r w:rsidRPr="00EC51C2">
        <w:rPr>
          <w:rFonts w:ascii="Verdana" w:hAnsi="Verdana"/>
          <w:sz w:val="18"/>
          <w:szCs w:val="18"/>
        </w:rPr>
        <w:t xml:space="preserve">Het berekende bedrag bij regel 4.5 wordt afgetrokken van de begroting van het kwaliteitsbudget. Bij </w:t>
      </w:r>
      <w:r w:rsidR="00710131" w:rsidRPr="00EC51C2">
        <w:rPr>
          <w:rFonts w:ascii="Verdana" w:hAnsi="Verdana"/>
          <w:sz w:val="18"/>
          <w:szCs w:val="18"/>
        </w:rPr>
        <w:t>zorgaanbieders</w:t>
      </w:r>
      <w:r w:rsidRPr="00EC51C2">
        <w:rPr>
          <w:rFonts w:ascii="Verdana" w:hAnsi="Verdana"/>
          <w:sz w:val="18"/>
          <w:szCs w:val="18"/>
        </w:rPr>
        <w:t xml:space="preserve"> met hogere inkomsten uit het basistarief wordt daarmee dubbele bekostiging voorkomen. Bij </w:t>
      </w:r>
      <w:r w:rsidR="00710131" w:rsidRPr="00EC51C2">
        <w:rPr>
          <w:rFonts w:ascii="Verdana" w:hAnsi="Verdana"/>
          <w:sz w:val="18"/>
          <w:szCs w:val="18"/>
        </w:rPr>
        <w:t>zorgaanbieders</w:t>
      </w:r>
      <w:r w:rsidRPr="00EC51C2">
        <w:rPr>
          <w:rFonts w:ascii="Verdana" w:hAnsi="Verdana"/>
          <w:sz w:val="18"/>
          <w:szCs w:val="18"/>
        </w:rPr>
        <w:t xml:space="preserve"> met lagere inkomsten wordt daarmee een </w:t>
      </w:r>
      <w:r w:rsidR="001B7449" w:rsidRPr="00EC51C2">
        <w:rPr>
          <w:rFonts w:ascii="Verdana" w:hAnsi="Verdana"/>
          <w:sz w:val="18"/>
          <w:szCs w:val="18"/>
        </w:rPr>
        <w:t>gat in de bekostiging voorkomen</w:t>
      </w:r>
      <w:r w:rsidRPr="00EC51C2">
        <w:rPr>
          <w:rFonts w:ascii="Verdana" w:hAnsi="Verdana"/>
          <w:sz w:val="18"/>
          <w:szCs w:val="18"/>
        </w:rPr>
        <w:t>.</w:t>
      </w:r>
    </w:p>
    <w:p w14:paraId="4F251D1C" w14:textId="77777777" w:rsidR="00FA5301" w:rsidRPr="00EC51C2" w:rsidRDefault="00FA5301" w:rsidP="00FC48AB">
      <w:pPr>
        <w:pStyle w:val="Lijstalinea"/>
        <w:spacing w:before="240"/>
        <w:ind w:left="1418"/>
        <w:rPr>
          <w:rFonts w:ascii="Verdana" w:hAnsi="Verdana"/>
          <w:sz w:val="18"/>
          <w:szCs w:val="18"/>
        </w:rPr>
      </w:pPr>
    </w:p>
    <w:p w14:paraId="0220A770" w14:textId="7EB85F7C" w:rsidR="003273A4" w:rsidRPr="00EC51C2" w:rsidRDefault="003273A4" w:rsidP="00F3616C">
      <w:pPr>
        <w:pStyle w:val="Lijstalinea"/>
        <w:widowControl w:val="0"/>
        <w:numPr>
          <w:ilvl w:val="0"/>
          <w:numId w:val="17"/>
        </w:numPr>
        <w:rPr>
          <w:rFonts w:ascii="Verdana" w:hAnsi="Verdana"/>
          <w:sz w:val="18"/>
          <w:szCs w:val="18"/>
        </w:rPr>
      </w:pPr>
      <w:r>
        <w:rPr>
          <w:rFonts w:ascii="Verdana" w:hAnsi="Verdana"/>
          <w:sz w:val="18"/>
          <w:szCs w:val="18"/>
        </w:rPr>
        <w:t>I</w:t>
      </w:r>
      <w:r w:rsidRPr="003273A4">
        <w:rPr>
          <w:rFonts w:ascii="Verdana" w:hAnsi="Verdana"/>
          <w:sz w:val="18"/>
          <w:szCs w:val="18"/>
        </w:rPr>
        <w:t xml:space="preserve">s er sprake van een </w:t>
      </w:r>
      <w:r w:rsidR="00E55D00">
        <w:rPr>
          <w:rFonts w:ascii="Verdana" w:hAnsi="Verdana"/>
          <w:sz w:val="18"/>
          <w:szCs w:val="18"/>
        </w:rPr>
        <w:t>gewijzigde</w:t>
      </w:r>
      <w:r w:rsidRPr="003273A4">
        <w:rPr>
          <w:rFonts w:ascii="Verdana" w:hAnsi="Verdana"/>
          <w:sz w:val="18"/>
          <w:szCs w:val="18"/>
        </w:rPr>
        <w:t xml:space="preserve"> omzet en ondervindt u nadeel van toepassing van het tarief </w:t>
      </w:r>
      <w:r w:rsidR="006C58DE">
        <w:rPr>
          <w:rFonts w:ascii="Verdana" w:hAnsi="Verdana"/>
          <w:sz w:val="18"/>
          <w:szCs w:val="18"/>
        </w:rPr>
        <w:t xml:space="preserve">2020 </w:t>
      </w:r>
      <w:r w:rsidR="006C58DE" w:rsidRPr="003273A4">
        <w:rPr>
          <w:rFonts w:ascii="Verdana" w:hAnsi="Verdana"/>
          <w:sz w:val="18"/>
          <w:szCs w:val="18"/>
        </w:rPr>
        <w:t>in</w:t>
      </w:r>
      <w:r w:rsidRPr="003273A4">
        <w:rPr>
          <w:rFonts w:ascii="Verdana" w:hAnsi="Verdana"/>
          <w:sz w:val="18"/>
          <w:szCs w:val="18"/>
        </w:rPr>
        <w:t xml:space="preserve"> he</w:t>
      </w:r>
      <w:r w:rsidR="00C61094">
        <w:rPr>
          <w:rFonts w:ascii="Verdana" w:hAnsi="Verdana"/>
          <w:sz w:val="18"/>
          <w:szCs w:val="18"/>
        </w:rPr>
        <w:t>t begrotings- en v</w:t>
      </w:r>
      <w:r w:rsidRPr="003273A4">
        <w:rPr>
          <w:rFonts w:ascii="Verdana" w:hAnsi="Verdana"/>
          <w:sz w:val="18"/>
          <w:szCs w:val="18"/>
        </w:rPr>
        <w:t>erantwoordingsmodel bij de berekening van correctie cliënt-FTE mix dan kunt u hierover contact opnemen met het zorgkantoor</w:t>
      </w:r>
      <w:r w:rsidR="00F91499">
        <w:rPr>
          <w:rFonts w:ascii="Verdana" w:hAnsi="Verdana"/>
          <w:sz w:val="18"/>
          <w:szCs w:val="18"/>
        </w:rPr>
        <w:t xml:space="preserve"> voor een passende oplossing</w:t>
      </w:r>
      <w:r w:rsidRPr="003273A4">
        <w:rPr>
          <w:rFonts w:ascii="Verdana" w:hAnsi="Verdana"/>
          <w:sz w:val="18"/>
          <w:szCs w:val="18"/>
        </w:rPr>
        <w:t>.</w:t>
      </w:r>
    </w:p>
    <w:p w14:paraId="23DB998D" w14:textId="2DBBBA08" w:rsidR="00C15E3B" w:rsidRPr="00EC51C2" w:rsidRDefault="000258F8" w:rsidP="00DF2A14">
      <w:pPr>
        <w:spacing w:after="0"/>
        <w:rPr>
          <w:rFonts w:ascii="Verdana" w:hAnsi="Verdana"/>
          <w:sz w:val="18"/>
          <w:szCs w:val="18"/>
        </w:rPr>
      </w:pPr>
      <w:r w:rsidRPr="00EC51C2">
        <w:rPr>
          <w:rFonts w:ascii="Verdana" w:hAnsi="Verdana"/>
          <w:sz w:val="18"/>
          <w:szCs w:val="18"/>
        </w:rPr>
        <w:t xml:space="preserve">Bij de </w:t>
      </w:r>
      <w:r w:rsidR="00143873">
        <w:rPr>
          <w:rFonts w:ascii="Verdana" w:hAnsi="Verdana"/>
          <w:sz w:val="18"/>
          <w:szCs w:val="18"/>
        </w:rPr>
        <w:t>nacalculatie</w:t>
      </w:r>
      <w:r w:rsidR="00C15E3B" w:rsidRPr="00EC51C2">
        <w:rPr>
          <w:rFonts w:ascii="Verdana" w:hAnsi="Verdana"/>
          <w:sz w:val="18"/>
          <w:szCs w:val="18"/>
        </w:rPr>
        <w:t xml:space="preserve"> </w:t>
      </w:r>
      <w:r w:rsidRPr="00EC51C2">
        <w:rPr>
          <w:rFonts w:ascii="Verdana" w:hAnsi="Verdana"/>
          <w:sz w:val="18"/>
          <w:szCs w:val="18"/>
        </w:rPr>
        <w:t xml:space="preserve">van het kwaliteitsbudget </w:t>
      </w:r>
      <w:r w:rsidR="00E12E7B" w:rsidRPr="00EC51C2">
        <w:rPr>
          <w:rFonts w:ascii="Verdana" w:hAnsi="Verdana"/>
          <w:sz w:val="18"/>
          <w:szCs w:val="18"/>
        </w:rPr>
        <w:t>202</w:t>
      </w:r>
      <w:r w:rsidR="00EC7A0A">
        <w:rPr>
          <w:rFonts w:ascii="Verdana" w:hAnsi="Verdana"/>
          <w:sz w:val="18"/>
          <w:szCs w:val="18"/>
        </w:rPr>
        <w:t>1</w:t>
      </w:r>
      <w:r w:rsidR="00E12E7B" w:rsidRPr="00EC51C2">
        <w:rPr>
          <w:rFonts w:ascii="Verdana" w:hAnsi="Verdana"/>
          <w:sz w:val="18"/>
          <w:szCs w:val="18"/>
        </w:rPr>
        <w:t xml:space="preserve"> </w:t>
      </w:r>
      <w:r w:rsidRPr="00EC51C2">
        <w:rPr>
          <w:rFonts w:ascii="Verdana" w:hAnsi="Verdana"/>
          <w:sz w:val="18"/>
          <w:szCs w:val="18"/>
        </w:rPr>
        <w:t xml:space="preserve">zullen de </w:t>
      </w:r>
      <w:r w:rsidR="00C15E3B" w:rsidRPr="00EC51C2">
        <w:rPr>
          <w:rFonts w:ascii="Verdana" w:hAnsi="Verdana"/>
          <w:sz w:val="18"/>
          <w:szCs w:val="18"/>
        </w:rPr>
        <w:t xml:space="preserve">benodigde </w:t>
      </w:r>
      <w:r w:rsidRPr="00EC51C2">
        <w:rPr>
          <w:rFonts w:ascii="Verdana" w:hAnsi="Verdana"/>
          <w:sz w:val="18"/>
          <w:szCs w:val="18"/>
        </w:rPr>
        <w:t xml:space="preserve">gegevens </w:t>
      </w:r>
      <w:r w:rsidR="00C15E3B" w:rsidRPr="00EC51C2">
        <w:rPr>
          <w:rFonts w:ascii="Verdana" w:hAnsi="Verdana"/>
          <w:sz w:val="18"/>
          <w:szCs w:val="18"/>
        </w:rPr>
        <w:t xml:space="preserve">voor de correctie op grond van cliëntenaantal/mix geautomatiseerd door het zorgkantoor worden gereedgezet. </w:t>
      </w:r>
      <w:r w:rsidR="00DF2A14" w:rsidRPr="00EC51C2">
        <w:rPr>
          <w:rFonts w:ascii="Verdana" w:hAnsi="Verdana"/>
          <w:sz w:val="18"/>
          <w:szCs w:val="18"/>
        </w:rPr>
        <w:t xml:space="preserve">Deze gegevens hoeft u dan dus niet zelf in te voeren. </w:t>
      </w:r>
      <w:r w:rsidR="00C15E3B" w:rsidRPr="00EC51C2">
        <w:rPr>
          <w:rFonts w:ascii="Verdana" w:hAnsi="Verdana"/>
          <w:sz w:val="18"/>
          <w:szCs w:val="18"/>
        </w:rPr>
        <w:t>Het betreft daarbij:</w:t>
      </w:r>
    </w:p>
    <w:p w14:paraId="3A9E79F5" w14:textId="77777777" w:rsidR="00DF2A14" w:rsidRPr="00EC51C2" w:rsidRDefault="00C15E3B" w:rsidP="00DF2A14">
      <w:pPr>
        <w:pStyle w:val="Lijstalinea"/>
        <w:numPr>
          <w:ilvl w:val="2"/>
          <w:numId w:val="17"/>
        </w:numPr>
        <w:spacing w:after="0"/>
        <w:ind w:left="1418" w:hanging="284"/>
        <w:rPr>
          <w:rFonts w:ascii="Verdana" w:hAnsi="Verdana"/>
          <w:sz w:val="18"/>
          <w:szCs w:val="18"/>
        </w:rPr>
      </w:pPr>
      <w:r w:rsidRPr="00EC51C2">
        <w:rPr>
          <w:rFonts w:ascii="Verdana" w:hAnsi="Verdana"/>
          <w:sz w:val="18"/>
          <w:szCs w:val="18"/>
        </w:rPr>
        <w:t>het aantal dagen per prestatie (zzp/vpt4-10) op basis van de nacalculatie 2018</w:t>
      </w:r>
      <w:r w:rsidR="00DF2A14" w:rsidRPr="00EC51C2">
        <w:rPr>
          <w:rFonts w:ascii="Verdana" w:hAnsi="Verdana"/>
          <w:sz w:val="18"/>
          <w:szCs w:val="18"/>
        </w:rPr>
        <w:t>;</w:t>
      </w:r>
    </w:p>
    <w:p w14:paraId="6CB98DA2" w14:textId="67BCA058" w:rsidR="00DF2A14" w:rsidRPr="00EC51C2" w:rsidRDefault="00DF2A14" w:rsidP="00DF2A14">
      <w:pPr>
        <w:pStyle w:val="Lijstalinea"/>
        <w:numPr>
          <w:ilvl w:val="2"/>
          <w:numId w:val="17"/>
        </w:numPr>
        <w:spacing w:after="0"/>
        <w:ind w:left="1418" w:hanging="284"/>
        <w:rPr>
          <w:rFonts w:ascii="Verdana" w:hAnsi="Verdana"/>
          <w:sz w:val="18"/>
          <w:szCs w:val="18"/>
        </w:rPr>
      </w:pPr>
      <w:r w:rsidRPr="00EC51C2">
        <w:rPr>
          <w:rFonts w:ascii="Verdana" w:hAnsi="Verdana"/>
          <w:sz w:val="18"/>
          <w:szCs w:val="18"/>
        </w:rPr>
        <w:t xml:space="preserve">het aantal dagen per prestatie (zzp/vpt4-10) op basis van </w:t>
      </w:r>
      <w:r w:rsidR="00C15E3B" w:rsidRPr="00EC51C2">
        <w:rPr>
          <w:rFonts w:ascii="Verdana" w:hAnsi="Verdana"/>
          <w:sz w:val="18"/>
          <w:szCs w:val="18"/>
        </w:rPr>
        <w:t xml:space="preserve">de declaraties over </w:t>
      </w:r>
      <w:r w:rsidR="007175F8" w:rsidRPr="00EC51C2">
        <w:rPr>
          <w:rFonts w:ascii="Verdana" w:hAnsi="Verdana"/>
          <w:sz w:val="18"/>
          <w:szCs w:val="18"/>
        </w:rPr>
        <w:t>het jaar 20</w:t>
      </w:r>
      <w:r w:rsidR="00EC7A0A">
        <w:rPr>
          <w:rFonts w:ascii="Verdana" w:hAnsi="Verdana"/>
          <w:sz w:val="18"/>
          <w:szCs w:val="18"/>
        </w:rPr>
        <w:t>2</w:t>
      </w:r>
      <w:r w:rsidR="00FE146D">
        <w:rPr>
          <w:rFonts w:ascii="Verdana" w:hAnsi="Verdana"/>
          <w:sz w:val="18"/>
          <w:szCs w:val="18"/>
        </w:rPr>
        <w:t>1</w:t>
      </w:r>
      <w:r w:rsidRPr="00EC51C2">
        <w:rPr>
          <w:rFonts w:ascii="Verdana" w:hAnsi="Verdana"/>
          <w:sz w:val="18"/>
          <w:szCs w:val="18"/>
        </w:rPr>
        <w:t>;</w:t>
      </w:r>
    </w:p>
    <w:p w14:paraId="257B73B1" w14:textId="5517EB3F" w:rsidR="00DF2A14" w:rsidRPr="00B35D23" w:rsidRDefault="00DF2A14" w:rsidP="00DF2A14">
      <w:pPr>
        <w:pStyle w:val="Lijstalinea"/>
        <w:numPr>
          <w:ilvl w:val="2"/>
          <w:numId w:val="17"/>
        </w:numPr>
        <w:spacing w:after="0"/>
        <w:ind w:left="1418" w:hanging="284"/>
        <w:rPr>
          <w:rFonts w:ascii="Verdana" w:hAnsi="Verdana"/>
          <w:sz w:val="18"/>
          <w:szCs w:val="18"/>
        </w:rPr>
      </w:pPr>
      <w:r w:rsidRPr="00B35D23">
        <w:rPr>
          <w:rFonts w:ascii="Verdana" w:hAnsi="Verdana"/>
          <w:sz w:val="18"/>
          <w:szCs w:val="18"/>
        </w:rPr>
        <w:t xml:space="preserve">de integrale tarieven per prestatie (zzp/vpt4-10) in </w:t>
      </w:r>
      <w:r w:rsidR="00B03AC6" w:rsidRPr="00B35D23">
        <w:rPr>
          <w:rFonts w:ascii="Verdana" w:hAnsi="Verdana"/>
          <w:sz w:val="18"/>
          <w:szCs w:val="18"/>
        </w:rPr>
        <w:t>2020</w:t>
      </w:r>
      <w:r w:rsidR="007D29FB" w:rsidRPr="00B35D23">
        <w:rPr>
          <w:rFonts w:ascii="Verdana" w:hAnsi="Verdana"/>
          <w:sz w:val="18"/>
          <w:szCs w:val="18"/>
        </w:rPr>
        <w:t>;</w:t>
      </w:r>
    </w:p>
    <w:p w14:paraId="0C122040" w14:textId="0FF69C17" w:rsidR="000258F8" w:rsidRPr="00B35D23" w:rsidRDefault="00DF2A14" w:rsidP="00DF2A14">
      <w:pPr>
        <w:pStyle w:val="Lijstalinea"/>
        <w:numPr>
          <w:ilvl w:val="2"/>
          <w:numId w:val="17"/>
        </w:numPr>
        <w:ind w:left="1418" w:hanging="284"/>
        <w:rPr>
          <w:rFonts w:ascii="Verdana" w:hAnsi="Verdana"/>
          <w:sz w:val="18"/>
          <w:szCs w:val="18"/>
        </w:rPr>
      </w:pPr>
      <w:r w:rsidRPr="00B35D23">
        <w:rPr>
          <w:rFonts w:ascii="Verdana" w:hAnsi="Verdana"/>
          <w:sz w:val="18"/>
          <w:szCs w:val="18"/>
        </w:rPr>
        <w:t xml:space="preserve">de gemiddelde korting </w:t>
      </w:r>
      <w:r w:rsidR="00C416CC" w:rsidRPr="00B35D23">
        <w:rPr>
          <w:rFonts w:ascii="Verdana" w:hAnsi="Verdana"/>
          <w:sz w:val="18"/>
          <w:szCs w:val="18"/>
        </w:rPr>
        <w:t xml:space="preserve">van het zorgkantoor </w:t>
      </w:r>
      <w:r w:rsidRPr="00B35D23">
        <w:rPr>
          <w:rFonts w:ascii="Verdana" w:hAnsi="Verdana"/>
          <w:sz w:val="18"/>
          <w:szCs w:val="18"/>
        </w:rPr>
        <w:t xml:space="preserve">op het integrale tarief </w:t>
      </w:r>
      <w:r w:rsidR="00B03AC6" w:rsidRPr="00B35D23">
        <w:rPr>
          <w:rFonts w:ascii="Verdana" w:hAnsi="Verdana"/>
          <w:sz w:val="18"/>
          <w:szCs w:val="18"/>
        </w:rPr>
        <w:t>2019</w:t>
      </w:r>
      <w:r w:rsidRPr="00B35D23">
        <w:rPr>
          <w:rFonts w:ascii="Verdana" w:hAnsi="Verdana"/>
          <w:sz w:val="18"/>
          <w:szCs w:val="18"/>
        </w:rPr>
        <w:t xml:space="preserve">. </w:t>
      </w:r>
    </w:p>
    <w:p w14:paraId="2E6BEDA6" w14:textId="01395CE5" w:rsidR="00A87800" w:rsidRPr="00EC51C2" w:rsidRDefault="00385C03">
      <w:pPr>
        <w:rPr>
          <w:rFonts w:ascii="Verdana" w:hAnsi="Verdana"/>
          <w:sz w:val="18"/>
          <w:szCs w:val="18"/>
        </w:rPr>
      </w:pPr>
      <w:r w:rsidRPr="00385C03">
        <w:rPr>
          <w:noProof/>
        </w:rPr>
        <w:lastRenderedPageBreak/>
        <w:drawing>
          <wp:inline distT="0" distB="0" distL="0" distR="0" wp14:anchorId="4E966111" wp14:editId="49570B56">
            <wp:extent cx="5760720" cy="5293995"/>
            <wp:effectExtent l="0" t="0" r="0" b="190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293995"/>
                    </a:xfrm>
                    <a:prstGeom prst="rect">
                      <a:avLst/>
                    </a:prstGeom>
                    <a:noFill/>
                    <a:ln>
                      <a:noFill/>
                    </a:ln>
                  </pic:spPr>
                </pic:pic>
              </a:graphicData>
            </a:graphic>
          </wp:inline>
        </w:drawing>
      </w:r>
    </w:p>
    <w:p w14:paraId="7D88CE32" w14:textId="77777777" w:rsidR="005600A2" w:rsidRPr="00EC51C2" w:rsidRDefault="005600A2">
      <w:pPr>
        <w:rPr>
          <w:rFonts w:ascii="Verdana" w:hAnsi="Verdana"/>
          <w:sz w:val="18"/>
          <w:szCs w:val="18"/>
        </w:rPr>
      </w:pPr>
      <w:r w:rsidRPr="00EC51C2">
        <w:rPr>
          <w:rFonts w:ascii="Verdana" w:hAnsi="Verdana"/>
          <w:sz w:val="18"/>
          <w:szCs w:val="18"/>
        </w:rPr>
        <w:br w:type="page"/>
      </w:r>
    </w:p>
    <w:p w14:paraId="045B4CA7" w14:textId="77777777" w:rsidR="008942E0" w:rsidRPr="00EC51C2" w:rsidRDefault="008942E0">
      <w:pPr>
        <w:rPr>
          <w:rFonts w:ascii="Verdana" w:hAnsi="Verdana"/>
          <w:sz w:val="18"/>
          <w:szCs w:val="18"/>
        </w:rPr>
      </w:pPr>
    </w:p>
    <w:tbl>
      <w:tblPr>
        <w:tblStyle w:val="Tabelraster"/>
        <w:tblpPr w:leftFromText="141" w:rightFromText="141" w:vertAnchor="text" w:horzAnchor="margin" w:tblpY="24"/>
        <w:tblW w:w="9322" w:type="dxa"/>
        <w:tblLook w:val="04A0" w:firstRow="1" w:lastRow="0" w:firstColumn="1" w:lastColumn="0" w:noHBand="0" w:noVBand="1"/>
      </w:tblPr>
      <w:tblGrid>
        <w:gridCol w:w="1315"/>
        <w:gridCol w:w="8007"/>
      </w:tblGrid>
      <w:tr w:rsidR="00007F01" w:rsidRPr="00EC51C2" w14:paraId="63A50C8D" w14:textId="77777777" w:rsidTr="00713B56">
        <w:trPr>
          <w:trHeight w:val="454"/>
        </w:trPr>
        <w:tc>
          <w:tcPr>
            <w:tcW w:w="1315" w:type="dxa"/>
            <w:shd w:val="clear" w:color="auto" w:fill="9BBB59" w:themeFill="accent3"/>
            <w:vAlign w:val="center"/>
          </w:tcPr>
          <w:p w14:paraId="3D985924" w14:textId="77777777" w:rsidR="00007F01" w:rsidRPr="005D2E41" w:rsidRDefault="00007F01" w:rsidP="00713B56">
            <w:pPr>
              <w:rPr>
                <w:rFonts w:ascii="Verdana" w:hAnsi="Verdana"/>
                <w:b/>
                <w:bCs/>
                <w:sz w:val="18"/>
                <w:szCs w:val="18"/>
              </w:rPr>
            </w:pPr>
            <w:r w:rsidRPr="005D2E41">
              <w:rPr>
                <w:rFonts w:ascii="Verdana" w:hAnsi="Verdana"/>
                <w:b/>
                <w:bCs/>
                <w:sz w:val="18"/>
                <w:szCs w:val="18"/>
              </w:rPr>
              <w:t>Stap 5</w:t>
            </w:r>
          </w:p>
        </w:tc>
        <w:tc>
          <w:tcPr>
            <w:tcW w:w="8007" w:type="dxa"/>
            <w:shd w:val="clear" w:color="auto" w:fill="9BBB59" w:themeFill="accent3"/>
            <w:vAlign w:val="center"/>
          </w:tcPr>
          <w:p w14:paraId="18A095F1" w14:textId="77777777" w:rsidR="00007F01" w:rsidRPr="00EC51C2" w:rsidRDefault="00007F01" w:rsidP="00713B56">
            <w:pPr>
              <w:rPr>
                <w:rFonts w:ascii="Verdana" w:hAnsi="Verdana"/>
                <w:sz w:val="18"/>
                <w:szCs w:val="18"/>
              </w:rPr>
            </w:pPr>
            <w:r w:rsidRPr="00EC51C2">
              <w:rPr>
                <w:rFonts w:ascii="Verdana" w:hAnsi="Verdana"/>
                <w:sz w:val="18"/>
                <w:szCs w:val="18"/>
              </w:rPr>
              <w:t>Begroting extra personeelskosten</w:t>
            </w:r>
          </w:p>
        </w:tc>
      </w:tr>
    </w:tbl>
    <w:p w14:paraId="4DDF5A6F" w14:textId="77777777" w:rsidR="00F16AF5" w:rsidRPr="00EC51C2" w:rsidRDefault="00F16AF5" w:rsidP="000A1F30">
      <w:pPr>
        <w:spacing w:after="0"/>
        <w:rPr>
          <w:rFonts w:ascii="Verdana" w:hAnsi="Verdana"/>
          <w:sz w:val="18"/>
          <w:szCs w:val="18"/>
        </w:rPr>
      </w:pPr>
    </w:p>
    <w:p w14:paraId="0C9D2CAB" w14:textId="02CED355" w:rsidR="00F16AF5" w:rsidRPr="00EC51C2" w:rsidRDefault="00F16AF5" w:rsidP="00EC51C2">
      <w:pPr>
        <w:spacing w:after="0"/>
        <w:rPr>
          <w:rFonts w:ascii="Verdana" w:hAnsi="Verdana"/>
          <w:sz w:val="18"/>
          <w:szCs w:val="18"/>
        </w:rPr>
      </w:pPr>
      <w:r w:rsidRPr="00EC51C2">
        <w:rPr>
          <w:rFonts w:ascii="Verdana" w:hAnsi="Verdana"/>
          <w:sz w:val="18"/>
          <w:szCs w:val="18"/>
        </w:rPr>
        <w:t>Het model berekent op basis van stap 1 t/m 4 de extra personeelskosten die mogen worden opgenomen in de begroting voor 20</w:t>
      </w:r>
      <w:r w:rsidR="00A853AE" w:rsidRPr="00EC51C2">
        <w:rPr>
          <w:rFonts w:ascii="Verdana" w:hAnsi="Verdana"/>
          <w:sz w:val="18"/>
          <w:szCs w:val="18"/>
        </w:rPr>
        <w:t>2</w:t>
      </w:r>
      <w:r w:rsidR="00450D2C">
        <w:rPr>
          <w:rFonts w:ascii="Verdana" w:hAnsi="Verdana"/>
          <w:sz w:val="18"/>
          <w:szCs w:val="18"/>
        </w:rPr>
        <w:t>1</w:t>
      </w:r>
      <w:r w:rsidRPr="00EC51C2">
        <w:rPr>
          <w:rFonts w:ascii="Verdana" w:hAnsi="Verdana"/>
          <w:sz w:val="18"/>
          <w:szCs w:val="18"/>
        </w:rPr>
        <w:t xml:space="preserve">. </w:t>
      </w:r>
    </w:p>
    <w:p w14:paraId="04C75585" w14:textId="538E2777" w:rsidR="009E3700" w:rsidRPr="00EC51C2" w:rsidRDefault="00A853AE" w:rsidP="009E3700">
      <w:pPr>
        <w:spacing w:after="0"/>
        <w:rPr>
          <w:rFonts w:ascii="Verdana" w:hAnsi="Verdana"/>
          <w:sz w:val="18"/>
          <w:szCs w:val="18"/>
        </w:rPr>
      </w:pPr>
      <w:r w:rsidRPr="00EC51C2">
        <w:rPr>
          <w:rFonts w:ascii="Verdana" w:hAnsi="Verdana"/>
          <w:sz w:val="18"/>
          <w:szCs w:val="18"/>
        </w:rPr>
        <w:t>Er is</w:t>
      </w:r>
      <w:r w:rsidR="00F16AF5" w:rsidRPr="00EC51C2">
        <w:rPr>
          <w:rFonts w:ascii="Verdana" w:hAnsi="Verdana"/>
          <w:sz w:val="18"/>
          <w:szCs w:val="18"/>
        </w:rPr>
        <w:t xml:space="preserve"> een mogelijkheid opgenomen om gemotiveerd af te wijken</w:t>
      </w:r>
      <w:r w:rsidR="004B2A4F" w:rsidRPr="00EC51C2">
        <w:rPr>
          <w:rFonts w:ascii="Verdana" w:hAnsi="Verdana"/>
          <w:sz w:val="18"/>
          <w:szCs w:val="18"/>
        </w:rPr>
        <w:t xml:space="preserve"> (regel 5.5)</w:t>
      </w:r>
      <w:r w:rsidR="00F16AF5" w:rsidRPr="00EC51C2">
        <w:rPr>
          <w:rFonts w:ascii="Verdana" w:hAnsi="Verdana"/>
          <w:sz w:val="18"/>
          <w:szCs w:val="18"/>
        </w:rPr>
        <w:t>. Het is hierbij van belang dat u een toelichting en onderbouwing opneemt, zodat beoordeling plaats kan vinden.</w:t>
      </w:r>
      <w:r w:rsidR="00AF193D" w:rsidRPr="00EC51C2">
        <w:rPr>
          <w:rFonts w:ascii="Verdana" w:hAnsi="Verdana"/>
          <w:sz w:val="18"/>
          <w:szCs w:val="18"/>
        </w:rPr>
        <w:t xml:space="preserve"> </w:t>
      </w:r>
      <w:r w:rsidR="009E3700" w:rsidRPr="00EC51C2">
        <w:rPr>
          <w:rFonts w:ascii="Verdana" w:hAnsi="Verdana"/>
          <w:sz w:val="18"/>
          <w:szCs w:val="18"/>
        </w:rPr>
        <w:t xml:space="preserve">Het gaat bijvoorbeeld om tijdelijk extra middelen voor kwaliteitsimpuls, tijdelijk nieuw personeel i.v.m. nieuw zorgaanbod, tijdelijk extra personeelskosten i.v.m. MRSA. Er is </w:t>
      </w:r>
      <w:r w:rsidR="000556E6">
        <w:rPr>
          <w:rFonts w:ascii="Verdana" w:hAnsi="Verdana"/>
          <w:sz w:val="18"/>
          <w:szCs w:val="18"/>
        </w:rPr>
        <w:t>binnen het kwaliteitsbudget 202</w:t>
      </w:r>
      <w:r w:rsidR="00450D2C">
        <w:rPr>
          <w:rFonts w:ascii="Verdana" w:hAnsi="Verdana"/>
          <w:sz w:val="18"/>
          <w:szCs w:val="18"/>
        </w:rPr>
        <w:t>1</w:t>
      </w:r>
      <w:r w:rsidR="000556E6">
        <w:rPr>
          <w:rFonts w:ascii="Verdana" w:hAnsi="Verdana"/>
          <w:sz w:val="18"/>
          <w:szCs w:val="18"/>
        </w:rPr>
        <w:t xml:space="preserve"> </w:t>
      </w:r>
      <w:r w:rsidR="000556E6" w:rsidRPr="00EC51C2">
        <w:rPr>
          <w:rFonts w:ascii="Verdana" w:hAnsi="Verdana"/>
          <w:sz w:val="18"/>
          <w:szCs w:val="18"/>
        </w:rPr>
        <w:t xml:space="preserve">bijv. </w:t>
      </w:r>
      <w:r w:rsidR="009E3700" w:rsidRPr="00EC51C2">
        <w:rPr>
          <w:rFonts w:ascii="Verdana" w:hAnsi="Verdana"/>
          <w:sz w:val="18"/>
          <w:szCs w:val="18"/>
        </w:rPr>
        <w:t>ook ruimte voor:</w:t>
      </w:r>
    </w:p>
    <w:p w14:paraId="6E288809" w14:textId="01BB91E9" w:rsidR="009E3700" w:rsidRPr="00EC51C2" w:rsidRDefault="00751078" w:rsidP="009E3700">
      <w:pPr>
        <w:pStyle w:val="Lijstalinea"/>
        <w:numPr>
          <w:ilvl w:val="0"/>
          <w:numId w:val="23"/>
        </w:numPr>
        <w:spacing w:after="0"/>
        <w:ind w:left="357" w:hanging="357"/>
        <w:rPr>
          <w:rFonts w:ascii="Verdana" w:hAnsi="Verdana"/>
          <w:sz w:val="18"/>
          <w:szCs w:val="18"/>
        </w:rPr>
      </w:pPr>
      <w:r w:rsidRPr="00EC51C2">
        <w:rPr>
          <w:rFonts w:ascii="Verdana" w:hAnsi="Verdana"/>
          <w:sz w:val="18"/>
          <w:szCs w:val="18"/>
        </w:rPr>
        <w:t>A</w:t>
      </w:r>
      <w:r w:rsidR="009E3700" w:rsidRPr="00EC51C2">
        <w:rPr>
          <w:rFonts w:ascii="Verdana" w:hAnsi="Verdana"/>
          <w:sz w:val="18"/>
          <w:szCs w:val="18"/>
        </w:rPr>
        <w:t xml:space="preserve">anvragen voor gemotiveerd afwijken voor voorinvesteringen in bijzondere gevallen waarbij zorgaanbieders al meer personeel hebben ingezet vooruitlopend op het kwaliteitsbudget. </w:t>
      </w:r>
      <w:r w:rsidR="00163D13">
        <w:rPr>
          <w:rFonts w:ascii="Verdana" w:hAnsi="Verdana"/>
          <w:sz w:val="18"/>
          <w:szCs w:val="18"/>
        </w:rPr>
        <w:t>Als er voor kwaliteitsbudget 2020 afspraken zijn gemaakt voor gemotiveerd afwijken voor voorinvestering, dan gelden deze ook voor 2021</w:t>
      </w:r>
    </w:p>
    <w:p w14:paraId="23F7AE5E" w14:textId="7320D9C1" w:rsidR="00BA789B" w:rsidRPr="00EC51C2" w:rsidRDefault="00BA789B" w:rsidP="00BA789B">
      <w:pPr>
        <w:pStyle w:val="Lijstalinea"/>
        <w:numPr>
          <w:ilvl w:val="0"/>
          <w:numId w:val="23"/>
        </w:numPr>
        <w:rPr>
          <w:rFonts w:ascii="Verdana" w:hAnsi="Verdana"/>
          <w:sz w:val="18"/>
          <w:szCs w:val="18"/>
        </w:rPr>
      </w:pPr>
      <w:r w:rsidRPr="00EC51C2">
        <w:rPr>
          <w:rFonts w:ascii="Verdana" w:hAnsi="Verdana"/>
          <w:sz w:val="18"/>
          <w:szCs w:val="18"/>
        </w:rPr>
        <w:t>Indien er sprake is van een daling van verzuim met relevante omvang, kan de zorgaanbieder ten laste van de 85% een compensatie ontvangen uit het kwaliteitsbudget 202</w:t>
      </w:r>
      <w:r w:rsidR="00450D2C">
        <w:rPr>
          <w:rFonts w:ascii="Verdana" w:hAnsi="Verdana"/>
          <w:sz w:val="18"/>
          <w:szCs w:val="18"/>
        </w:rPr>
        <w:t>1</w:t>
      </w:r>
      <w:r w:rsidR="00C506C6">
        <w:rPr>
          <w:rFonts w:ascii="Verdana" w:hAnsi="Verdana"/>
          <w:sz w:val="18"/>
          <w:szCs w:val="18"/>
        </w:rPr>
        <w:t>.</w:t>
      </w:r>
    </w:p>
    <w:p w14:paraId="6FE9119B" w14:textId="4E4EC762" w:rsidR="00751078" w:rsidRPr="00EC51C2" w:rsidRDefault="009E3700" w:rsidP="001240BC">
      <w:pPr>
        <w:pStyle w:val="Lijstalinea"/>
        <w:numPr>
          <w:ilvl w:val="0"/>
          <w:numId w:val="23"/>
        </w:numPr>
        <w:spacing w:after="0"/>
        <w:ind w:left="357" w:hanging="357"/>
        <w:rPr>
          <w:rFonts w:ascii="Verdana" w:hAnsi="Verdana"/>
          <w:sz w:val="18"/>
          <w:szCs w:val="18"/>
        </w:rPr>
      </w:pPr>
      <w:r w:rsidRPr="00EC51C2">
        <w:rPr>
          <w:rFonts w:ascii="Verdana" w:hAnsi="Verdana"/>
          <w:sz w:val="18"/>
          <w:szCs w:val="18"/>
        </w:rPr>
        <w:t xml:space="preserve">De aanbieder kan op basis van zijn individuele ontwikkelopgave </w:t>
      </w:r>
      <w:r w:rsidR="00485EA4">
        <w:rPr>
          <w:rFonts w:ascii="Verdana" w:hAnsi="Verdana"/>
          <w:sz w:val="18"/>
          <w:szCs w:val="18"/>
        </w:rPr>
        <w:t>voor 202</w:t>
      </w:r>
      <w:r w:rsidR="00450D2C">
        <w:rPr>
          <w:rFonts w:ascii="Verdana" w:hAnsi="Verdana"/>
          <w:sz w:val="18"/>
          <w:szCs w:val="18"/>
        </w:rPr>
        <w:t>1</w:t>
      </w:r>
      <w:r w:rsidR="00485EA4">
        <w:rPr>
          <w:rFonts w:ascii="Verdana" w:hAnsi="Verdana"/>
          <w:sz w:val="18"/>
          <w:szCs w:val="18"/>
        </w:rPr>
        <w:t xml:space="preserve"> </w:t>
      </w:r>
      <w:r w:rsidRPr="00EC51C2">
        <w:rPr>
          <w:rFonts w:ascii="Verdana" w:hAnsi="Verdana"/>
          <w:sz w:val="18"/>
          <w:szCs w:val="18"/>
        </w:rPr>
        <w:t xml:space="preserve">een aanvraag met een andere verhouding dan de 85/15% </w:t>
      </w:r>
      <w:r w:rsidR="00FF59E3" w:rsidRPr="00EC51C2">
        <w:rPr>
          <w:rFonts w:ascii="Verdana" w:hAnsi="Verdana"/>
          <w:sz w:val="18"/>
          <w:szCs w:val="18"/>
        </w:rPr>
        <w:t>indienen.</w:t>
      </w:r>
    </w:p>
    <w:p w14:paraId="5B554FC2" w14:textId="65253791" w:rsidR="00F16AF5" w:rsidRPr="00EC51C2" w:rsidRDefault="009E3700" w:rsidP="00751078">
      <w:pPr>
        <w:spacing w:after="0"/>
        <w:rPr>
          <w:rFonts w:ascii="Verdana" w:hAnsi="Verdana"/>
          <w:sz w:val="18"/>
          <w:szCs w:val="18"/>
        </w:rPr>
      </w:pPr>
      <w:r w:rsidRPr="00EC51C2">
        <w:rPr>
          <w:rFonts w:ascii="Verdana" w:hAnsi="Verdana"/>
          <w:sz w:val="18"/>
          <w:szCs w:val="18"/>
        </w:rPr>
        <w:t>Voor de volledige tekst verwijzen wij u naar</w:t>
      </w:r>
      <w:r w:rsidR="00AF193D" w:rsidRPr="00EC51C2">
        <w:rPr>
          <w:rFonts w:ascii="Verdana" w:hAnsi="Verdana"/>
          <w:sz w:val="18"/>
          <w:szCs w:val="18"/>
        </w:rPr>
        <w:t xml:space="preserve"> paragraaf “4.2.4 Richtlijn is dat 85% van het kwaliteitsbudget is bestemd voor extra personeel” in </w:t>
      </w:r>
      <w:r w:rsidR="006C58DE" w:rsidRPr="00EC51C2">
        <w:rPr>
          <w:rFonts w:ascii="Verdana" w:hAnsi="Verdana"/>
          <w:sz w:val="18"/>
          <w:szCs w:val="18"/>
        </w:rPr>
        <w:t xml:space="preserve">inkoopdocument </w:t>
      </w:r>
      <w:r w:rsidR="006C58DE" w:rsidRPr="00450D2C">
        <w:rPr>
          <w:rFonts w:ascii="Verdana" w:hAnsi="Verdana"/>
          <w:sz w:val="18"/>
          <w:szCs w:val="18"/>
        </w:rPr>
        <w:t>het</w:t>
      </w:r>
      <w:r w:rsidR="00450D2C">
        <w:rPr>
          <w:rFonts w:ascii="Verdana" w:hAnsi="Verdana"/>
          <w:sz w:val="18"/>
          <w:szCs w:val="18"/>
        </w:rPr>
        <w:t xml:space="preserve"> ‘</w:t>
      </w:r>
      <w:r w:rsidR="00450D2C" w:rsidRPr="00AB3B35">
        <w:rPr>
          <w:rFonts w:ascii="Verdana" w:hAnsi="Verdana"/>
          <w:sz w:val="18"/>
          <w:szCs w:val="18"/>
        </w:rPr>
        <w:t>Inkoopkader langdurige zorg 2021-2023</w:t>
      </w:r>
      <w:r w:rsidR="00450D2C">
        <w:rPr>
          <w:rFonts w:ascii="Verdana" w:hAnsi="Verdana"/>
          <w:sz w:val="18"/>
          <w:szCs w:val="18"/>
        </w:rPr>
        <w:t>’</w:t>
      </w:r>
      <w:r w:rsidR="00AF193D" w:rsidRPr="00EC51C2">
        <w:rPr>
          <w:rFonts w:ascii="Verdana" w:hAnsi="Verdana"/>
          <w:sz w:val="18"/>
          <w:szCs w:val="18"/>
        </w:rPr>
        <w:t>.</w:t>
      </w:r>
    </w:p>
    <w:p w14:paraId="72E1A768" w14:textId="77777777" w:rsidR="005469A7" w:rsidRDefault="005469A7">
      <w:pPr>
        <w:rPr>
          <w:rFonts w:ascii="Verdana" w:hAnsi="Verdana"/>
          <w:sz w:val="18"/>
          <w:szCs w:val="18"/>
        </w:rPr>
      </w:pPr>
    </w:p>
    <w:p w14:paraId="55E02A21" w14:textId="10A5946B" w:rsidR="008942E0" w:rsidRPr="00EC51C2" w:rsidRDefault="00D075A5">
      <w:pPr>
        <w:rPr>
          <w:rFonts w:ascii="Verdana" w:hAnsi="Verdana"/>
          <w:sz w:val="18"/>
          <w:szCs w:val="18"/>
        </w:rPr>
      </w:pPr>
      <w:r w:rsidRPr="00EC51C2">
        <w:rPr>
          <w:rFonts w:ascii="Verdana" w:hAnsi="Verdana"/>
          <w:sz w:val="18"/>
          <w:szCs w:val="18"/>
        </w:rPr>
        <w:t xml:space="preserve">Tabel </w:t>
      </w:r>
      <w:r w:rsidR="0072443C" w:rsidRPr="00EC51C2">
        <w:rPr>
          <w:rFonts w:ascii="Verdana" w:hAnsi="Verdana"/>
          <w:sz w:val="18"/>
          <w:szCs w:val="18"/>
        </w:rPr>
        <w:t>5</w:t>
      </w:r>
      <w:r w:rsidR="00BA2F79" w:rsidRPr="00EC51C2">
        <w:rPr>
          <w:rFonts w:ascii="Verdana" w:hAnsi="Verdana"/>
          <w:sz w:val="18"/>
          <w:szCs w:val="18"/>
        </w:rPr>
        <w:t xml:space="preserve"> </w:t>
      </w:r>
      <w:r w:rsidRPr="00EC51C2">
        <w:rPr>
          <w:rFonts w:ascii="Verdana" w:hAnsi="Verdana"/>
          <w:sz w:val="18"/>
          <w:szCs w:val="18"/>
        </w:rPr>
        <w:t xml:space="preserve">geeft </w:t>
      </w:r>
      <w:r w:rsidR="00DF2A14" w:rsidRPr="00EC51C2">
        <w:rPr>
          <w:rFonts w:ascii="Verdana" w:hAnsi="Verdana"/>
          <w:sz w:val="18"/>
          <w:szCs w:val="18"/>
        </w:rPr>
        <w:t xml:space="preserve">op basis van het fictieve voorbeeld in dit document </w:t>
      </w:r>
      <w:r w:rsidRPr="00EC51C2">
        <w:rPr>
          <w:rFonts w:ascii="Verdana" w:hAnsi="Verdana"/>
          <w:sz w:val="18"/>
          <w:szCs w:val="18"/>
        </w:rPr>
        <w:t>een samenvatting</w:t>
      </w:r>
      <w:r w:rsidR="003907A8" w:rsidRPr="00EC51C2">
        <w:rPr>
          <w:rFonts w:ascii="Verdana" w:hAnsi="Verdana"/>
          <w:sz w:val="18"/>
          <w:szCs w:val="18"/>
        </w:rPr>
        <w:t xml:space="preserve"> van de eerste </w:t>
      </w:r>
      <w:r w:rsidR="008D181D" w:rsidRPr="00EC51C2">
        <w:rPr>
          <w:rFonts w:ascii="Verdana" w:hAnsi="Verdana"/>
          <w:sz w:val="18"/>
          <w:szCs w:val="18"/>
        </w:rPr>
        <w:t>vier</w:t>
      </w:r>
      <w:r w:rsidR="00DF2A14" w:rsidRPr="00EC51C2">
        <w:rPr>
          <w:rFonts w:ascii="Verdana" w:hAnsi="Verdana"/>
          <w:sz w:val="18"/>
          <w:szCs w:val="18"/>
        </w:rPr>
        <w:t xml:space="preserve"> </w:t>
      </w:r>
      <w:r w:rsidR="003907A8" w:rsidRPr="00EC51C2">
        <w:rPr>
          <w:rFonts w:ascii="Verdana" w:hAnsi="Verdana"/>
          <w:sz w:val="18"/>
          <w:szCs w:val="18"/>
        </w:rPr>
        <w:t>stappen en hiermee inzicht in de begroting voor de extra personeelskosten</w:t>
      </w:r>
      <w:r w:rsidR="0093657C" w:rsidRPr="00EC51C2">
        <w:rPr>
          <w:rFonts w:ascii="Verdana" w:hAnsi="Verdana"/>
          <w:sz w:val="18"/>
          <w:szCs w:val="18"/>
        </w:rPr>
        <w:t xml:space="preserve"> voor 20</w:t>
      </w:r>
      <w:r w:rsidR="00A853AE" w:rsidRPr="00EC51C2">
        <w:rPr>
          <w:rFonts w:ascii="Verdana" w:hAnsi="Verdana"/>
          <w:sz w:val="18"/>
          <w:szCs w:val="18"/>
        </w:rPr>
        <w:t>2</w:t>
      </w:r>
      <w:r w:rsidR="00450D2C">
        <w:rPr>
          <w:rFonts w:ascii="Verdana" w:hAnsi="Verdana"/>
          <w:sz w:val="18"/>
          <w:szCs w:val="18"/>
        </w:rPr>
        <w:t>1.</w:t>
      </w:r>
      <w:r w:rsidR="0093657C" w:rsidRPr="00EC51C2">
        <w:rPr>
          <w:rFonts w:ascii="Verdana" w:hAnsi="Verdana"/>
          <w:sz w:val="18"/>
          <w:szCs w:val="18"/>
        </w:rPr>
        <w:t>)</w:t>
      </w:r>
      <w:r w:rsidRPr="00EC51C2">
        <w:rPr>
          <w:rFonts w:ascii="Verdana" w:hAnsi="Verdana"/>
          <w:sz w:val="18"/>
          <w:szCs w:val="18"/>
        </w:rPr>
        <w:t>.</w:t>
      </w:r>
    </w:p>
    <w:p w14:paraId="13BD1CD1" w14:textId="6D3FDA6D" w:rsidR="00E17903" w:rsidRPr="00EC51C2" w:rsidRDefault="00275465">
      <w:pPr>
        <w:rPr>
          <w:rFonts w:ascii="Verdana" w:hAnsi="Verdana"/>
          <w:sz w:val="18"/>
          <w:szCs w:val="18"/>
        </w:rPr>
      </w:pPr>
      <w:r w:rsidRPr="00275465">
        <w:rPr>
          <w:noProof/>
        </w:rPr>
        <w:drawing>
          <wp:inline distT="0" distB="0" distL="0" distR="0" wp14:anchorId="64DBA400" wp14:editId="6C7742D9">
            <wp:extent cx="5760720" cy="164401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644015"/>
                    </a:xfrm>
                    <a:prstGeom prst="rect">
                      <a:avLst/>
                    </a:prstGeom>
                    <a:noFill/>
                    <a:ln>
                      <a:noFill/>
                    </a:ln>
                  </pic:spPr>
                </pic:pic>
              </a:graphicData>
            </a:graphic>
          </wp:inline>
        </w:drawing>
      </w:r>
    </w:p>
    <w:p w14:paraId="590735D2" w14:textId="77777777" w:rsidR="008D181D" w:rsidRPr="00EC51C2" w:rsidRDefault="008D181D">
      <w:pPr>
        <w:rPr>
          <w:rFonts w:ascii="Verdana" w:hAnsi="Verdana"/>
          <w:sz w:val="18"/>
          <w:szCs w:val="18"/>
        </w:rPr>
      </w:pPr>
      <w:r w:rsidRPr="00EC51C2">
        <w:rPr>
          <w:rFonts w:ascii="Verdana" w:hAnsi="Verdana"/>
          <w:sz w:val="18"/>
          <w:szCs w:val="18"/>
        </w:rPr>
        <w:br w:type="page"/>
      </w:r>
    </w:p>
    <w:p w14:paraId="04A8A677" w14:textId="77777777" w:rsidR="008D181D" w:rsidRPr="00EC51C2" w:rsidRDefault="008D181D">
      <w:pPr>
        <w:rPr>
          <w:rFonts w:ascii="Verdana" w:hAnsi="Verdana"/>
          <w:sz w:val="18"/>
          <w:szCs w:val="18"/>
        </w:rPr>
      </w:pPr>
    </w:p>
    <w:tbl>
      <w:tblPr>
        <w:tblStyle w:val="Tabelraster"/>
        <w:tblW w:w="9322" w:type="dxa"/>
        <w:tblLook w:val="04A0" w:firstRow="1" w:lastRow="0" w:firstColumn="1" w:lastColumn="0" w:noHBand="0" w:noVBand="1"/>
      </w:tblPr>
      <w:tblGrid>
        <w:gridCol w:w="1315"/>
        <w:gridCol w:w="8007"/>
      </w:tblGrid>
      <w:tr w:rsidR="0007740D" w:rsidRPr="00EC51C2" w14:paraId="4385B78F" w14:textId="77777777" w:rsidTr="00042ED7">
        <w:trPr>
          <w:trHeight w:val="454"/>
        </w:trPr>
        <w:tc>
          <w:tcPr>
            <w:tcW w:w="1315" w:type="dxa"/>
            <w:shd w:val="clear" w:color="auto" w:fill="E5B8B7" w:themeFill="accent2" w:themeFillTint="66"/>
            <w:vAlign w:val="center"/>
          </w:tcPr>
          <w:p w14:paraId="5506C94B" w14:textId="77777777" w:rsidR="0007740D" w:rsidRPr="00EC51C2" w:rsidRDefault="0007740D" w:rsidP="00CC1FF9">
            <w:pPr>
              <w:rPr>
                <w:rFonts w:ascii="Verdana" w:hAnsi="Verdana"/>
                <w:b/>
                <w:sz w:val="18"/>
                <w:szCs w:val="18"/>
              </w:rPr>
            </w:pPr>
            <w:r w:rsidRPr="00EC51C2">
              <w:rPr>
                <w:rFonts w:ascii="Verdana" w:hAnsi="Verdana"/>
                <w:b/>
                <w:sz w:val="18"/>
                <w:szCs w:val="18"/>
              </w:rPr>
              <w:t xml:space="preserve">Stap </w:t>
            </w:r>
            <w:r w:rsidR="00E6679F" w:rsidRPr="00EC51C2">
              <w:rPr>
                <w:rFonts w:ascii="Verdana" w:hAnsi="Verdana"/>
                <w:b/>
                <w:sz w:val="18"/>
                <w:szCs w:val="18"/>
              </w:rPr>
              <w:t>6</w:t>
            </w:r>
          </w:p>
        </w:tc>
        <w:tc>
          <w:tcPr>
            <w:tcW w:w="8007" w:type="dxa"/>
            <w:shd w:val="clear" w:color="auto" w:fill="E5B8B7" w:themeFill="accent2" w:themeFillTint="66"/>
            <w:vAlign w:val="center"/>
          </w:tcPr>
          <w:p w14:paraId="00652694" w14:textId="77777777" w:rsidR="0007740D" w:rsidRPr="00EC51C2" w:rsidRDefault="0007740D" w:rsidP="00CC1FF9">
            <w:pPr>
              <w:rPr>
                <w:rFonts w:ascii="Verdana" w:hAnsi="Verdana"/>
                <w:sz w:val="18"/>
                <w:szCs w:val="18"/>
              </w:rPr>
            </w:pPr>
            <w:r w:rsidRPr="00EC51C2">
              <w:rPr>
                <w:rFonts w:ascii="Verdana" w:hAnsi="Verdana"/>
                <w:sz w:val="18"/>
                <w:szCs w:val="18"/>
              </w:rPr>
              <w:t>Bedrag aan andere investeringen in kwaliteitskader</w:t>
            </w:r>
          </w:p>
        </w:tc>
      </w:tr>
    </w:tbl>
    <w:p w14:paraId="7BDFC0D7" w14:textId="77777777" w:rsidR="0007740D" w:rsidRPr="00EC51C2" w:rsidRDefault="0007740D" w:rsidP="000A1F30">
      <w:pPr>
        <w:rPr>
          <w:rFonts w:ascii="Verdana" w:hAnsi="Verdana"/>
          <w:sz w:val="18"/>
          <w:szCs w:val="18"/>
        </w:rPr>
      </w:pPr>
    </w:p>
    <w:p w14:paraId="51F5E2CD" w14:textId="51D1F546" w:rsidR="001954CE" w:rsidRPr="00EC51C2" w:rsidRDefault="001954CE" w:rsidP="000A1F30">
      <w:pPr>
        <w:rPr>
          <w:rFonts w:ascii="Verdana" w:hAnsi="Verdana"/>
          <w:sz w:val="18"/>
          <w:szCs w:val="18"/>
        </w:rPr>
      </w:pPr>
      <w:r w:rsidRPr="00EC51C2">
        <w:rPr>
          <w:rFonts w:ascii="Verdana" w:hAnsi="Verdana"/>
          <w:sz w:val="18"/>
          <w:szCs w:val="18"/>
        </w:rPr>
        <w:t xml:space="preserve">Bij stap </w:t>
      </w:r>
      <w:r w:rsidR="00E6679F" w:rsidRPr="00EC51C2">
        <w:rPr>
          <w:rFonts w:ascii="Verdana" w:hAnsi="Verdana"/>
          <w:sz w:val="18"/>
          <w:szCs w:val="18"/>
        </w:rPr>
        <w:t>6</w:t>
      </w:r>
      <w:r w:rsidRPr="00EC51C2">
        <w:rPr>
          <w:rFonts w:ascii="Verdana" w:hAnsi="Verdana"/>
          <w:sz w:val="18"/>
          <w:szCs w:val="18"/>
        </w:rPr>
        <w:t xml:space="preserve"> geeft </w:t>
      </w:r>
      <w:r w:rsidR="008D181D" w:rsidRPr="00EC51C2">
        <w:rPr>
          <w:rFonts w:ascii="Verdana" w:hAnsi="Verdana"/>
          <w:sz w:val="18"/>
          <w:szCs w:val="18"/>
        </w:rPr>
        <w:t>het zorgkantoor de maximale initiële ruimte op voor het kwaliteitsbudget voor uw instelling</w:t>
      </w:r>
      <w:r w:rsidR="008D181D" w:rsidRPr="00EC51C2">
        <w:rPr>
          <w:rFonts w:ascii="Verdana" w:hAnsi="Verdana"/>
          <w:sz w:val="18"/>
          <w:szCs w:val="18"/>
          <w:vertAlign w:val="superscript"/>
        </w:rPr>
        <w:footnoteReference w:id="5"/>
      </w:r>
      <w:r w:rsidR="004B2A4F" w:rsidRPr="00EC51C2">
        <w:rPr>
          <w:rFonts w:ascii="Verdana" w:hAnsi="Verdana"/>
          <w:sz w:val="18"/>
          <w:szCs w:val="18"/>
        </w:rPr>
        <w:t xml:space="preserve"> (regel 6.1) en –indien van toepassing- het bedrag dat daarvan beschikbaar wordt gesteld als vaste compensatie</w:t>
      </w:r>
      <w:r w:rsidR="00223494" w:rsidRPr="00EC51C2">
        <w:rPr>
          <w:rStyle w:val="Voetnootmarkering"/>
          <w:rFonts w:ascii="Verdana" w:hAnsi="Verdana"/>
          <w:sz w:val="18"/>
          <w:szCs w:val="18"/>
        </w:rPr>
        <w:footnoteReference w:id="6"/>
      </w:r>
      <w:r w:rsidR="004B2A4F" w:rsidRPr="00EC51C2">
        <w:rPr>
          <w:rFonts w:ascii="Verdana" w:hAnsi="Verdana"/>
          <w:sz w:val="18"/>
          <w:szCs w:val="18"/>
        </w:rPr>
        <w:t xml:space="preserve"> voor de herijking van de basistarieven (regel 6.2). Het model laat op regel 6.3 zien welk deel van het initieel gereserveerde budget valt onder de verantwoordingsregels met de richtlijn van 85/15.</w:t>
      </w:r>
      <w:r w:rsidR="008D181D" w:rsidRPr="00EC51C2">
        <w:rPr>
          <w:rFonts w:ascii="Verdana" w:hAnsi="Verdana"/>
          <w:sz w:val="18"/>
          <w:szCs w:val="18"/>
        </w:rPr>
        <w:t xml:space="preserve"> </w:t>
      </w:r>
      <w:r w:rsidR="00480D5B" w:rsidRPr="00EC51C2">
        <w:rPr>
          <w:rFonts w:ascii="Verdana" w:hAnsi="Verdana"/>
          <w:sz w:val="18"/>
          <w:szCs w:val="18"/>
        </w:rPr>
        <w:t xml:space="preserve">Lees hierover meer in </w:t>
      </w:r>
      <w:r w:rsidR="00450D2C">
        <w:rPr>
          <w:rFonts w:ascii="Verdana" w:hAnsi="Verdana"/>
          <w:sz w:val="18"/>
          <w:szCs w:val="18"/>
        </w:rPr>
        <w:t>het ‘</w:t>
      </w:r>
      <w:r w:rsidR="00450D2C" w:rsidRPr="00AB3B35">
        <w:rPr>
          <w:rFonts w:ascii="Verdana" w:hAnsi="Verdana"/>
          <w:sz w:val="18"/>
          <w:szCs w:val="18"/>
        </w:rPr>
        <w:t>Inkoopkader langdurige zorg 2021-2023</w:t>
      </w:r>
      <w:r w:rsidR="006C58DE">
        <w:rPr>
          <w:rFonts w:ascii="Verdana" w:hAnsi="Verdana"/>
          <w:sz w:val="18"/>
          <w:szCs w:val="18"/>
        </w:rPr>
        <w:t>’</w:t>
      </w:r>
      <w:r w:rsidR="006C58DE" w:rsidRPr="00AB3B35">
        <w:rPr>
          <w:rFonts w:ascii="Verdana" w:hAnsi="Verdana"/>
          <w:sz w:val="18"/>
          <w:szCs w:val="18"/>
        </w:rPr>
        <w:t>.</w:t>
      </w:r>
    </w:p>
    <w:p w14:paraId="610AC57C" w14:textId="55F519C7" w:rsidR="00374BA4" w:rsidRPr="00EC51C2" w:rsidRDefault="008D181D" w:rsidP="008D181D">
      <w:pPr>
        <w:rPr>
          <w:rFonts w:ascii="Verdana" w:hAnsi="Verdana"/>
          <w:sz w:val="18"/>
          <w:szCs w:val="18"/>
        </w:rPr>
      </w:pPr>
      <w:r w:rsidRPr="00EC51C2">
        <w:rPr>
          <w:rFonts w:ascii="Verdana" w:hAnsi="Verdana"/>
          <w:sz w:val="18"/>
          <w:szCs w:val="18"/>
        </w:rPr>
        <w:t xml:space="preserve">In de witte vakjes kunt u voor </w:t>
      </w:r>
      <w:r w:rsidR="00F56B6F" w:rsidRPr="00EC51C2">
        <w:rPr>
          <w:rFonts w:ascii="Verdana" w:hAnsi="Verdana"/>
          <w:sz w:val="18"/>
          <w:szCs w:val="18"/>
        </w:rPr>
        <w:t xml:space="preserve">het jaar </w:t>
      </w:r>
      <w:r w:rsidR="004B2A4F" w:rsidRPr="00EC51C2">
        <w:rPr>
          <w:rFonts w:ascii="Verdana" w:hAnsi="Verdana"/>
          <w:sz w:val="18"/>
          <w:szCs w:val="18"/>
        </w:rPr>
        <w:t>202</w:t>
      </w:r>
      <w:r w:rsidR="00450D2C">
        <w:rPr>
          <w:rFonts w:ascii="Verdana" w:hAnsi="Verdana"/>
          <w:sz w:val="18"/>
          <w:szCs w:val="18"/>
        </w:rPr>
        <w:t>1</w:t>
      </w:r>
      <w:r w:rsidRPr="00EC51C2">
        <w:rPr>
          <w:rFonts w:ascii="Verdana" w:hAnsi="Verdana"/>
          <w:sz w:val="18"/>
          <w:szCs w:val="18"/>
        </w:rPr>
        <w:t xml:space="preserve"> aangeven welk bedrag u op grond van uw kwaliteitsplan aan andere investeringen wilt doen dan de inzet van extra zorgpersoneel. </w:t>
      </w:r>
    </w:p>
    <w:p w14:paraId="75471F47" w14:textId="77777777" w:rsidR="00374BA4" w:rsidRPr="00EC51C2" w:rsidRDefault="00AF3872" w:rsidP="00424DAB">
      <w:pPr>
        <w:rPr>
          <w:rFonts w:ascii="Verdana" w:hAnsi="Verdana"/>
          <w:sz w:val="18"/>
          <w:szCs w:val="18"/>
        </w:rPr>
      </w:pPr>
      <w:r w:rsidRPr="00EC51C2">
        <w:rPr>
          <w:rFonts w:ascii="Verdana" w:hAnsi="Verdana"/>
          <w:sz w:val="18"/>
        </w:rPr>
        <w:t>De rekenmodul</w:t>
      </w:r>
      <w:r w:rsidR="00873265" w:rsidRPr="00EC51C2">
        <w:rPr>
          <w:rFonts w:ascii="Verdana" w:hAnsi="Verdana"/>
          <w:sz w:val="18"/>
        </w:rPr>
        <w:t>e</w:t>
      </w:r>
      <w:r w:rsidRPr="00EC51C2">
        <w:rPr>
          <w:rFonts w:ascii="Verdana" w:hAnsi="Verdana"/>
          <w:sz w:val="18"/>
        </w:rPr>
        <w:t xml:space="preserve"> </w:t>
      </w:r>
      <w:r w:rsidR="00A86053" w:rsidRPr="00EC51C2">
        <w:rPr>
          <w:rFonts w:ascii="Verdana" w:hAnsi="Verdana"/>
          <w:sz w:val="18"/>
        </w:rPr>
        <w:t xml:space="preserve">geeft aan of </w:t>
      </w:r>
      <w:r w:rsidR="00A36DE3" w:rsidRPr="00EC51C2">
        <w:rPr>
          <w:rFonts w:ascii="Verdana" w:hAnsi="Verdana"/>
          <w:sz w:val="18"/>
        </w:rPr>
        <w:t>dit past</w:t>
      </w:r>
      <w:r w:rsidR="00A86053" w:rsidRPr="00EC51C2">
        <w:rPr>
          <w:rFonts w:ascii="Verdana" w:hAnsi="Verdana"/>
          <w:sz w:val="18"/>
        </w:rPr>
        <w:t xml:space="preserve"> binnen de rich</w:t>
      </w:r>
      <w:r w:rsidR="00F56B6F" w:rsidRPr="00EC51C2">
        <w:rPr>
          <w:rFonts w:ascii="Verdana" w:hAnsi="Verdana"/>
          <w:sz w:val="18"/>
        </w:rPr>
        <w:t>tlijn</w:t>
      </w:r>
      <w:r w:rsidR="00A86053" w:rsidRPr="00EC51C2">
        <w:rPr>
          <w:rFonts w:ascii="Verdana" w:hAnsi="Verdana"/>
          <w:sz w:val="18"/>
        </w:rPr>
        <w:t xml:space="preserve"> </w:t>
      </w:r>
      <w:r w:rsidR="00A36DE3" w:rsidRPr="00EC51C2">
        <w:rPr>
          <w:rFonts w:ascii="Verdana" w:hAnsi="Verdana"/>
          <w:sz w:val="18"/>
        </w:rPr>
        <w:t xml:space="preserve">van 15% </w:t>
      </w:r>
      <w:r w:rsidR="00A86053" w:rsidRPr="00EC51C2">
        <w:rPr>
          <w:rFonts w:ascii="Verdana" w:hAnsi="Verdana"/>
          <w:sz w:val="18"/>
        </w:rPr>
        <w:t>of niet.</w:t>
      </w:r>
      <w:r w:rsidR="00A86053" w:rsidRPr="00EC51C2">
        <w:rPr>
          <w:rFonts w:ascii="Verdana" w:hAnsi="Verdana"/>
          <w:sz w:val="18"/>
          <w:szCs w:val="18"/>
        </w:rPr>
        <w:t xml:space="preserve"> </w:t>
      </w:r>
      <w:r w:rsidR="00374BA4" w:rsidRPr="00EC51C2">
        <w:rPr>
          <w:rFonts w:ascii="Verdana" w:hAnsi="Verdana"/>
          <w:sz w:val="18"/>
          <w:szCs w:val="18"/>
        </w:rPr>
        <w:t xml:space="preserve">Het percentage van 15 is een richtlijn, waarvan lokaal adequaat gemotiveerd kan worden afgeweken. Daardoor is er ruimte om op lokaal niveau tot een afwijkende afspraak te komen, rekening houdend met de plaatselijke situatie. Bij overschrijding van </w:t>
      </w:r>
      <w:r w:rsidR="00F31332" w:rsidRPr="00EC51C2">
        <w:rPr>
          <w:rFonts w:ascii="Verdana" w:hAnsi="Verdana"/>
          <w:sz w:val="18"/>
          <w:szCs w:val="18"/>
        </w:rPr>
        <w:t>de</w:t>
      </w:r>
      <w:r w:rsidR="00374BA4" w:rsidRPr="00EC51C2">
        <w:rPr>
          <w:rFonts w:ascii="Verdana" w:hAnsi="Verdana"/>
          <w:sz w:val="18"/>
          <w:szCs w:val="18"/>
        </w:rPr>
        <w:t xml:space="preserve"> rich</w:t>
      </w:r>
      <w:r w:rsidR="00F31332" w:rsidRPr="00EC51C2">
        <w:rPr>
          <w:rFonts w:ascii="Verdana" w:hAnsi="Verdana"/>
          <w:sz w:val="18"/>
          <w:szCs w:val="18"/>
        </w:rPr>
        <w:t>tlijn</w:t>
      </w:r>
      <w:r w:rsidR="00374BA4" w:rsidRPr="00EC51C2">
        <w:rPr>
          <w:rFonts w:ascii="Verdana" w:hAnsi="Verdana"/>
          <w:sz w:val="18"/>
          <w:szCs w:val="18"/>
        </w:rPr>
        <w:t xml:space="preserve"> berekent het model het bedrag van de overschrijding.</w:t>
      </w:r>
    </w:p>
    <w:p w14:paraId="4487E2F3" w14:textId="77777777" w:rsidR="00A87800" w:rsidRPr="00EC51C2" w:rsidRDefault="00A86053" w:rsidP="008D181D">
      <w:pPr>
        <w:rPr>
          <w:rFonts w:ascii="Verdana" w:hAnsi="Verdana"/>
          <w:sz w:val="18"/>
          <w:szCs w:val="18"/>
        </w:rPr>
      </w:pPr>
      <w:r w:rsidRPr="00EC51C2">
        <w:rPr>
          <w:rFonts w:ascii="Verdana" w:hAnsi="Verdana"/>
          <w:sz w:val="18"/>
          <w:szCs w:val="18"/>
        </w:rPr>
        <w:t>Hie</w:t>
      </w:r>
      <w:r w:rsidR="00A36DE3" w:rsidRPr="00EC51C2">
        <w:rPr>
          <w:rFonts w:ascii="Verdana" w:hAnsi="Verdana"/>
          <w:sz w:val="18"/>
          <w:szCs w:val="18"/>
        </w:rPr>
        <w:t>ronder treft u twee voorbeelden</w:t>
      </w:r>
      <w:r w:rsidRPr="00EC51C2">
        <w:rPr>
          <w:rFonts w:ascii="Verdana" w:hAnsi="Verdana"/>
          <w:sz w:val="18"/>
          <w:szCs w:val="18"/>
        </w:rPr>
        <w:t>. Tabel 6 past binnen de 15%:</w:t>
      </w:r>
    </w:p>
    <w:p w14:paraId="2C1A5D5E" w14:textId="3B88D419" w:rsidR="00BB56FF" w:rsidRPr="00EC51C2" w:rsidRDefault="0073169A" w:rsidP="008D181D">
      <w:pPr>
        <w:rPr>
          <w:rFonts w:ascii="Verdana" w:hAnsi="Verdana"/>
          <w:sz w:val="18"/>
          <w:szCs w:val="18"/>
        </w:rPr>
      </w:pPr>
      <w:r w:rsidRPr="0073169A">
        <w:rPr>
          <w:noProof/>
        </w:rPr>
        <w:drawing>
          <wp:inline distT="0" distB="0" distL="0" distR="0" wp14:anchorId="16DEFAB1" wp14:editId="46DA3B66">
            <wp:extent cx="5760720" cy="1539875"/>
            <wp:effectExtent l="0" t="0" r="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539875"/>
                    </a:xfrm>
                    <a:prstGeom prst="rect">
                      <a:avLst/>
                    </a:prstGeom>
                    <a:noFill/>
                    <a:ln>
                      <a:noFill/>
                    </a:ln>
                  </pic:spPr>
                </pic:pic>
              </a:graphicData>
            </a:graphic>
          </wp:inline>
        </w:drawing>
      </w:r>
    </w:p>
    <w:p w14:paraId="0A7CB7DE" w14:textId="77777777" w:rsidR="00BA789B" w:rsidRPr="00EC51C2" w:rsidRDefault="00BA789B">
      <w:pPr>
        <w:rPr>
          <w:rFonts w:ascii="Verdana" w:hAnsi="Verdana"/>
          <w:sz w:val="18"/>
          <w:szCs w:val="18"/>
        </w:rPr>
      </w:pPr>
      <w:r w:rsidRPr="00EC51C2">
        <w:rPr>
          <w:rFonts w:ascii="Verdana" w:hAnsi="Verdana"/>
          <w:sz w:val="18"/>
          <w:szCs w:val="18"/>
        </w:rPr>
        <w:br w:type="page"/>
      </w:r>
    </w:p>
    <w:p w14:paraId="6DA67585" w14:textId="77777777" w:rsidR="00A87800" w:rsidRPr="00EC51C2" w:rsidRDefault="00BA6A6D">
      <w:pPr>
        <w:rPr>
          <w:rFonts w:ascii="Verdana" w:hAnsi="Verdana"/>
          <w:sz w:val="18"/>
          <w:szCs w:val="18"/>
        </w:rPr>
      </w:pPr>
      <w:r w:rsidRPr="00EC51C2">
        <w:rPr>
          <w:rFonts w:ascii="Verdana" w:hAnsi="Verdana"/>
          <w:sz w:val="18"/>
          <w:szCs w:val="18"/>
        </w:rPr>
        <w:lastRenderedPageBreak/>
        <w:t>Indien in</w:t>
      </w:r>
      <w:r w:rsidR="00A86053" w:rsidRPr="00EC51C2">
        <w:rPr>
          <w:rFonts w:ascii="Verdana" w:hAnsi="Verdana"/>
          <w:sz w:val="18"/>
          <w:szCs w:val="18"/>
        </w:rPr>
        <w:t xml:space="preserve"> tabel 6 de 15% </w:t>
      </w:r>
      <w:r w:rsidRPr="00EC51C2">
        <w:rPr>
          <w:rFonts w:ascii="Verdana" w:hAnsi="Verdana"/>
          <w:sz w:val="18"/>
          <w:szCs w:val="18"/>
        </w:rPr>
        <w:t xml:space="preserve">wordt </w:t>
      </w:r>
      <w:r w:rsidR="00A86053" w:rsidRPr="00EC51C2">
        <w:rPr>
          <w:rFonts w:ascii="Verdana" w:hAnsi="Verdana"/>
          <w:sz w:val="18"/>
          <w:szCs w:val="18"/>
        </w:rPr>
        <w:t>overschreden</w:t>
      </w:r>
      <w:r w:rsidRPr="00EC51C2">
        <w:rPr>
          <w:rFonts w:ascii="Verdana" w:hAnsi="Verdana"/>
          <w:sz w:val="18"/>
          <w:szCs w:val="18"/>
        </w:rPr>
        <w:t xml:space="preserve"> rekent h</w:t>
      </w:r>
      <w:r w:rsidR="00A36DE3" w:rsidRPr="00EC51C2">
        <w:rPr>
          <w:rFonts w:ascii="Verdana" w:hAnsi="Verdana"/>
          <w:sz w:val="18"/>
          <w:szCs w:val="18"/>
        </w:rPr>
        <w:t xml:space="preserve">et </w:t>
      </w:r>
      <w:r w:rsidR="00A86053" w:rsidRPr="00EC51C2">
        <w:rPr>
          <w:rFonts w:ascii="Verdana" w:hAnsi="Verdana"/>
          <w:sz w:val="18"/>
          <w:szCs w:val="18"/>
        </w:rPr>
        <w:t>model</w:t>
      </w:r>
      <w:r w:rsidRPr="00EC51C2">
        <w:rPr>
          <w:rFonts w:ascii="Verdana" w:hAnsi="Verdana"/>
          <w:sz w:val="18"/>
          <w:szCs w:val="18"/>
        </w:rPr>
        <w:t xml:space="preserve"> </w:t>
      </w:r>
      <w:r w:rsidR="00A36DE3" w:rsidRPr="00EC51C2">
        <w:rPr>
          <w:rFonts w:ascii="Verdana" w:hAnsi="Verdana"/>
          <w:sz w:val="18"/>
          <w:szCs w:val="18"/>
        </w:rPr>
        <w:t xml:space="preserve">in dat geval het bedrag van </w:t>
      </w:r>
      <w:r w:rsidR="00A86053" w:rsidRPr="00EC51C2">
        <w:rPr>
          <w:rFonts w:ascii="Verdana" w:hAnsi="Verdana"/>
          <w:sz w:val="18"/>
          <w:szCs w:val="18"/>
        </w:rPr>
        <w:t>de overschrijding in euro</w:t>
      </w:r>
      <w:r w:rsidR="00252580" w:rsidRPr="00EC51C2">
        <w:rPr>
          <w:rFonts w:ascii="Verdana" w:hAnsi="Verdana"/>
          <w:sz w:val="18"/>
          <w:szCs w:val="18"/>
        </w:rPr>
        <w:t>’s</w:t>
      </w:r>
      <w:r w:rsidR="00A86053" w:rsidRPr="00EC51C2">
        <w:rPr>
          <w:rFonts w:ascii="Verdana" w:hAnsi="Verdana"/>
          <w:sz w:val="18"/>
          <w:szCs w:val="18"/>
        </w:rPr>
        <w:t xml:space="preserve"> uit en geeft aan dat dit moet worden besproken met het zorgkantoor.</w:t>
      </w:r>
    </w:p>
    <w:p w14:paraId="25F76029" w14:textId="2082962D" w:rsidR="00BB56FF" w:rsidRPr="00EC51C2" w:rsidRDefault="00482E87">
      <w:pPr>
        <w:rPr>
          <w:rFonts w:ascii="Verdana" w:hAnsi="Verdana"/>
          <w:sz w:val="18"/>
          <w:szCs w:val="18"/>
        </w:rPr>
      </w:pPr>
      <w:r w:rsidRPr="00482E87">
        <w:rPr>
          <w:noProof/>
        </w:rPr>
        <w:drawing>
          <wp:inline distT="0" distB="0" distL="0" distR="0" wp14:anchorId="3DB9E505" wp14:editId="44698E3D">
            <wp:extent cx="5760720" cy="1539875"/>
            <wp:effectExtent l="0" t="0" r="0" b="317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539875"/>
                    </a:xfrm>
                    <a:prstGeom prst="rect">
                      <a:avLst/>
                    </a:prstGeom>
                    <a:noFill/>
                    <a:ln>
                      <a:noFill/>
                    </a:ln>
                  </pic:spPr>
                </pic:pic>
              </a:graphicData>
            </a:graphic>
          </wp:inline>
        </w:drawing>
      </w:r>
    </w:p>
    <w:p w14:paraId="1E30CDA7" w14:textId="67597BD4" w:rsidR="00A86053" w:rsidRPr="00EC51C2" w:rsidRDefault="00AF193D">
      <w:pPr>
        <w:rPr>
          <w:rFonts w:ascii="Verdana" w:hAnsi="Verdana"/>
          <w:sz w:val="18"/>
          <w:szCs w:val="18"/>
        </w:rPr>
      </w:pPr>
      <w:r w:rsidRPr="00EC51C2">
        <w:rPr>
          <w:rFonts w:ascii="Verdana" w:hAnsi="Verdana"/>
          <w:sz w:val="18"/>
          <w:szCs w:val="18"/>
        </w:rPr>
        <w:t>Indien de investering niet binnen de 15% past dient de overschrijding gemotiveerd en goed onderbouwd te worden. Zie hiervoor paragraaf “</w:t>
      </w:r>
      <w:r w:rsidR="00F3446D" w:rsidRPr="00EC51C2">
        <w:rPr>
          <w:rFonts w:ascii="Verdana" w:hAnsi="Verdana"/>
          <w:sz w:val="18"/>
          <w:szCs w:val="18"/>
        </w:rPr>
        <w:t>4.2.7 Zorgkantoren toetsen de aanvragen voor het kwaliteitsbudget zo snel mogelijk</w:t>
      </w:r>
      <w:r w:rsidRPr="00EC51C2">
        <w:rPr>
          <w:rFonts w:ascii="Verdana" w:hAnsi="Verdana"/>
          <w:sz w:val="18"/>
          <w:szCs w:val="18"/>
        </w:rPr>
        <w:t>”</w:t>
      </w:r>
      <w:r w:rsidR="00F3446D" w:rsidRPr="00EC51C2">
        <w:rPr>
          <w:rFonts w:ascii="Verdana" w:hAnsi="Verdana"/>
          <w:sz w:val="18"/>
          <w:szCs w:val="18"/>
        </w:rPr>
        <w:t xml:space="preserve"> </w:t>
      </w:r>
      <w:r w:rsidR="006C58DE" w:rsidRPr="00EC51C2">
        <w:rPr>
          <w:rFonts w:ascii="Verdana" w:hAnsi="Verdana"/>
          <w:sz w:val="18"/>
          <w:szCs w:val="18"/>
        </w:rPr>
        <w:t xml:space="preserve">in </w:t>
      </w:r>
      <w:r w:rsidR="006C58DE" w:rsidRPr="00450D2C">
        <w:rPr>
          <w:rFonts w:ascii="Verdana" w:hAnsi="Verdana"/>
          <w:sz w:val="18"/>
          <w:szCs w:val="18"/>
        </w:rPr>
        <w:t>het</w:t>
      </w:r>
      <w:r w:rsidR="00450D2C">
        <w:rPr>
          <w:rFonts w:ascii="Verdana" w:hAnsi="Verdana"/>
          <w:sz w:val="18"/>
          <w:szCs w:val="18"/>
        </w:rPr>
        <w:t xml:space="preserve"> ‘</w:t>
      </w:r>
      <w:r w:rsidR="00450D2C" w:rsidRPr="00AB3B35">
        <w:rPr>
          <w:rFonts w:ascii="Verdana" w:hAnsi="Verdana"/>
          <w:sz w:val="18"/>
          <w:szCs w:val="18"/>
        </w:rPr>
        <w:t>Inkoopkader langdurige zorg 2021-2023</w:t>
      </w:r>
      <w:r w:rsidR="00450D2C">
        <w:rPr>
          <w:rFonts w:ascii="Verdana" w:hAnsi="Verdana"/>
          <w:sz w:val="18"/>
          <w:szCs w:val="18"/>
        </w:rPr>
        <w:t>’</w:t>
      </w:r>
      <w:r w:rsidR="00F3446D" w:rsidRPr="00EC51C2">
        <w:rPr>
          <w:rFonts w:ascii="Verdana" w:hAnsi="Verdana"/>
          <w:sz w:val="18"/>
          <w:szCs w:val="18"/>
        </w:rPr>
        <w:t>.</w:t>
      </w:r>
    </w:p>
    <w:p w14:paraId="514E4174" w14:textId="77777777" w:rsidR="00BA789B" w:rsidRPr="00EC51C2" w:rsidRDefault="00BA789B">
      <w:pPr>
        <w:rPr>
          <w:rFonts w:ascii="Verdana" w:hAnsi="Verdana"/>
          <w:sz w:val="18"/>
          <w:szCs w:val="18"/>
        </w:rPr>
      </w:pPr>
      <w:r w:rsidRPr="00EC51C2">
        <w:rPr>
          <w:rFonts w:ascii="Verdana" w:hAnsi="Verdana"/>
          <w:sz w:val="18"/>
          <w:szCs w:val="18"/>
        </w:rPr>
        <w:br w:type="page"/>
      </w:r>
    </w:p>
    <w:p w14:paraId="4231EB6A" w14:textId="77777777" w:rsidR="00E17903" w:rsidRPr="00EC51C2" w:rsidRDefault="00E17903">
      <w:pPr>
        <w:rPr>
          <w:rFonts w:ascii="Verdana" w:hAnsi="Verdana"/>
          <w:sz w:val="18"/>
          <w:szCs w:val="18"/>
        </w:rPr>
      </w:pPr>
    </w:p>
    <w:tbl>
      <w:tblPr>
        <w:tblStyle w:val="Tabelraster"/>
        <w:tblW w:w="9322" w:type="dxa"/>
        <w:tblLook w:val="04A0" w:firstRow="1" w:lastRow="0" w:firstColumn="1" w:lastColumn="0" w:noHBand="0" w:noVBand="1"/>
      </w:tblPr>
      <w:tblGrid>
        <w:gridCol w:w="1315"/>
        <w:gridCol w:w="8007"/>
      </w:tblGrid>
      <w:tr w:rsidR="00E17903" w:rsidRPr="00EC51C2" w14:paraId="58E0A262" w14:textId="77777777" w:rsidTr="00FC09AC">
        <w:trPr>
          <w:trHeight w:val="454"/>
        </w:trPr>
        <w:tc>
          <w:tcPr>
            <w:tcW w:w="1315" w:type="dxa"/>
            <w:shd w:val="clear" w:color="auto" w:fill="E5B8B7" w:themeFill="accent2" w:themeFillTint="66"/>
            <w:vAlign w:val="center"/>
          </w:tcPr>
          <w:p w14:paraId="1021070B" w14:textId="77777777" w:rsidR="00E17903" w:rsidRPr="00EC51C2" w:rsidRDefault="00E17903" w:rsidP="00FC09AC">
            <w:pPr>
              <w:rPr>
                <w:rFonts w:ascii="Verdana" w:hAnsi="Verdana"/>
                <w:b/>
                <w:sz w:val="18"/>
                <w:szCs w:val="18"/>
              </w:rPr>
            </w:pPr>
            <w:r w:rsidRPr="00EC51C2">
              <w:rPr>
                <w:rFonts w:ascii="Verdana" w:hAnsi="Verdana"/>
                <w:b/>
                <w:sz w:val="18"/>
                <w:szCs w:val="18"/>
              </w:rPr>
              <w:t>Stap 7</w:t>
            </w:r>
          </w:p>
        </w:tc>
        <w:tc>
          <w:tcPr>
            <w:tcW w:w="8007" w:type="dxa"/>
            <w:shd w:val="clear" w:color="auto" w:fill="E5B8B7" w:themeFill="accent2" w:themeFillTint="66"/>
            <w:vAlign w:val="center"/>
          </w:tcPr>
          <w:p w14:paraId="5E17FA0D" w14:textId="77777777" w:rsidR="00E17903" w:rsidRPr="00EC51C2" w:rsidRDefault="00DA6A78" w:rsidP="00FC09AC">
            <w:pPr>
              <w:rPr>
                <w:rFonts w:ascii="Verdana" w:hAnsi="Verdana"/>
                <w:sz w:val="18"/>
                <w:szCs w:val="18"/>
              </w:rPr>
            </w:pPr>
            <w:r w:rsidRPr="00EC51C2">
              <w:rPr>
                <w:rFonts w:ascii="Verdana" w:hAnsi="Verdana"/>
                <w:sz w:val="18"/>
                <w:szCs w:val="18"/>
              </w:rPr>
              <w:t>Resulterende begroting: Confrontatie begroting kwaliteitsbudget met gereserveerde initiële budget</w:t>
            </w:r>
          </w:p>
        </w:tc>
      </w:tr>
    </w:tbl>
    <w:p w14:paraId="3CC26564" w14:textId="77777777" w:rsidR="00DA6A78" w:rsidRPr="00EC51C2" w:rsidRDefault="00DA6A78" w:rsidP="008D181D">
      <w:pPr>
        <w:rPr>
          <w:rFonts w:ascii="Verdana" w:hAnsi="Verdana"/>
          <w:b/>
          <w:sz w:val="18"/>
          <w:szCs w:val="18"/>
        </w:rPr>
      </w:pPr>
    </w:p>
    <w:p w14:paraId="08B8745D" w14:textId="77777777" w:rsidR="00BA7ACD" w:rsidRPr="00EC51C2" w:rsidRDefault="007A5AEA" w:rsidP="008D181D">
      <w:pPr>
        <w:rPr>
          <w:rFonts w:ascii="Verdana" w:hAnsi="Verdana"/>
          <w:sz w:val="18"/>
          <w:szCs w:val="18"/>
        </w:rPr>
      </w:pPr>
      <w:r w:rsidRPr="00EC51C2">
        <w:rPr>
          <w:rFonts w:ascii="Verdana" w:hAnsi="Verdana"/>
          <w:sz w:val="18"/>
          <w:szCs w:val="18"/>
        </w:rPr>
        <w:t xml:space="preserve">Tabel 7 geeft het samenvattende beeld van de meerjarenbegroting en confronteert de begroting </w:t>
      </w:r>
      <w:r w:rsidR="007D29FB" w:rsidRPr="00EC51C2">
        <w:rPr>
          <w:rFonts w:ascii="Verdana" w:hAnsi="Verdana"/>
          <w:sz w:val="18"/>
          <w:szCs w:val="18"/>
        </w:rPr>
        <w:t>kwaliteitsbudget</w:t>
      </w:r>
      <w:r w:rsidR="00F56B6F" w:rsidRPr="00EC51C2">
        <w:rPr>
          <w:rFonts w:ascii="Verdana" w:hAnsi="Verdana"/>
          <w:sz w:val="18"/>
          <w:szCs w:val="18"/>
        </w:rPr>
        <w:t xml:space="preserve"> </w:t>
      </w:r>
      <w:r w:rsidRPr="00EC51C2">
        <w:rPr>
          <w:rFonts w:ascii="Verdana" w:hAnsi="Verdana"/>
          <w:sz w:val="18"/>
          <w:szCs w:val="18"/>
        </w:rPr>
        <w:t xml:space="preserve">met </w:t>
      </w:r>
      <w:r w:rsidR="00F56B6F" w:rsidRPr="00EC51C2">
        <w:rPr>
          <w:rFonts w:ascii="Verdana" w:hAnsi="Verdana"/>
          <w:sz w:val="18"/>
          <w:szCs w:val="18"/>
        </w:rPr>
        <w:t>het gereserveerde initiële budget</w:t>
      </w:r>
      <w:r w:rsidRPr="00EC51C2">
        <w:rPr>
          <w:rFonts w:ascii="Verdana" w:hAnsi="Verdana"/>
          <w:sz w:val="18"/>
          <w:szCs w:val="18"/>
        </w:rPr>
        <w:t xml:space="preserve">. </w:t>
      </w:r>
    </w:p>
    <w:p w14:paraId="2754CEC1" w14:textId="0C00AD98" w:rsidR="00B879E0" w:rsidRPr="00EC51C2" w:rsidRDefault="00967964" w:rsidP="008D181D">
      <w:pPr>
        <w:rPr>
          <w:rFonts w:ascii="Verdana" w:hAnsi="Verdana"/>
          <w:sz w:val="18"/>
          <w:szCs w:val="18"/>
        </w:rPr>
      </w:pPr>
      <w:r w:rsidRPr="00967964">
        <w:rPr>
          <w:noProof/>
        </w:rPr>
        <w:drawing>
          <wp:inline distT="0" distB="0" distL="0" distR="0" wp14:anchorId="5ECC50B1" wp14:editId="1228D8BD">
            <wp:extent cx="5760720" cy="198437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984375"/>
                    </a:xfrm>
                    <a:prstGeom prst="rect">
                      <a:avLst/>
                    </a:prstGeom>
                    <a:noFill/>
                    <a:ln>
                      <a:noFill/>
                    </a:ln>
                  </pic:spPr>
                </pic:pic>
              </a:graphicData>
            </a:graphic>
          </wp:inline>
        </w:drawing>
      </w:r>
    </w:p>
    <w:p w14:paraId="7B8C9A13" w14:textId="77777777" w:rsidR="002A6815" w:rsidRPr="00EC51C2" w:rsidRDefault="002A6815" w:rsidP="007A5AEA">
      <w:pPr>
        <w:rPr>
          <w:rFonts w:ascii="Verdana" w:hAnsi="Verdana"/>
          <w:sz w:val="18"/>
          <w:szCs w:val="18"/>
        </w:rPr>
      </w:pPr>
      <w:r w:rsidRPr="00EC51C2">
        <w:rPr>
          <w:rFonts w:ascii="Verdana" w:hAnsi="Verdana"/>
          <w:sz w:val="18"/>
          <w:szCs w:val="18"/>
        </w:rPr>
        <w:t xml:space="preserve">De rekenmodule </w:t>
      </w:r>
      <w:r w:rsidR="003C1332" w:rsidRPr="00EC51C2">
        <w:rPr>
          <w:rFonts w:ascii="Verdana" w:hAnsi="Verdana"/>
          <w:sz w:val="18"/>
          <w:szCs w:val="18"/>
        </w:rPr>
        <w:t>controleert:</w:t>
      </w:r>
    </w:p>
    <w:p w14:paraId="5BFFD48B" w14:textId="77777777" w:rsidR="007A5AEA" w:rsidRPr="00EC51C2" w:rsidRDefault="00A82AA0" w:rsidP="0032710F">
      <w:pPr>
        <w:pStyle w:val="Lijstalinea"/>
        <w:ind w:left="709"/>
        <w:rPr>
          <w:rFonts w:ascii="Verdana" w:hAnsi="Verdana"/>
          <w:sz w:val="18"/>
          <w:szCs w:val="18"/>
        </w:rPr>
      </w:pPr>
      <w:r w:rsidRPr="00EC51C2">
        <w:rPr>
          <w:rFonts w:ascii="Verdana" w:hAnsi="Verdana"/>
          <w:sz w:val="18"/>
          <w:szCs w:val="18"/>
        </w:rPr>
        <w:t>O</w:t>
      </w:r>
      <w:r w:rsidR="002A6815" w:rsidRPr="00EC51C2">
        <w:rPr>
          <w:rFonts w:ascii="Verdana" w:hAnsi="Verdana"/>
          <w:sz w:val="18"/>
          <w:szCs w:val="18"/>
        </w:rPr>
        <w:t>f</w:t>
      </w:r>
      <w:r w:rsidR="00873265" w:rsidRPr="00EC51C2">
        <w:rPr>
          <w:rFonts w:ascii="Verdana" w:hAnsi="Verdana"/>
          <w:sz w:val="18"/>
          <w:szCs w:val="18"/>
        </w:rPr>
        <w:t xml:space="preserve"> </w:t>
      </w:r>
      <w:r w:rsidR="00E76C65" w:rsidRPr="00EC51C2">
        <w:rPr>
          <w:rFonts w:ascii="Verdana" w:hAnsi="Verdana"/>
          <w:sz w:val="18"/>
          <w:szCs w:val="18"/>
        </w:rPr>
        <w:t>met de totale begroting op regel 7.6</w:t>
      </w:r>
      <w:r w:rsidR="00873265" w:rsidRPr="00EC51C2">
        <w:rPr>
          <w:rFonts w:ascii="Verdana" w:hAnsi="Verdana"/>
          <w:sz w:val="18"/>
          <w:szCs w:val="18"/>
        </w:rPr>
        <w:t xml:space="preserve"> de beschikbare ruimte voor de instelling </w:t>
      </w:r>
      <w:r w:rsidR="007A5AEA" w:rsidRPr="00EC51C2">
        <w:rPr>
          <w:rFonts w:ascii="Verdana" w:hAnsi="Verdana"/>
          <w:sz w:val="18"/>
          <w:szCs w:val="18"/>
        </w:rPr>
        <w:t xml:space="preserve">op regel </w:t>
      </w:r>
      <w:r w:rsidR="00E76C65" w:rsidRPr="00EC51C2">
        <w:rPr>
          <w:rFonts w:ascii="Verdana" w:hAnsi="Verdana"/>
          <w:sz w:val="18"/>
          <w:szCs w:val="18"/>
        </w:rPr>
        <w:t>7.1</w:t>
      </w:r>
      <w:r w:rsidR="007A5AEA" w:rsidRPr="00EC51C2">
        <w:rPr>
          <w:rFonts w:ascii="Verdana" w:hAnsi="Verdana"/>
          <w:sz w:val="18"/>
          <w:szCs w:val="18"/>
        </w:rPr>
        <w:t xml:space="preserve"> </w:t>
      </w:r>
      <w:r w:rsidR="002A6815" w:rsidRPr="00EC51C2">
        <w:rPr>
          <w:rFonts w:ascii="Verdana" w:hAnsi="Verdana"/>
          <w:sz w:val="18"/>
          <w:szCs w:val="18"/>
        </w:rPr>
        <w:t>niet wordt overschreden</w:t>
      </w:r>
      <w:r w:rsidR="007A5AEA" w:rsidRPr="00EC51C2">
        <w:rPr>
          <w:rFonts w:ascii="Verdana" w:hAnsi="Verdana"/>
          <w:sz w:val="18"/>
          <w:szCs w:val="18"/>
        </w:rPr>
        <w:t xml:space="preserve">. </w:t>
      </w:r>
    </w:p>
    <w:p w14:paraId="0089CC44" w14:textId="77777777" w:rsidR="0032710F" w:rsidRPr="00EC51C2" w:rsidRDefault="0032710F" w:rsidP="0032710F">
      <w:pPr>
        <w:pStyle w:val="Lijstalinea"/>
        <w:ind w:left="709"/>
        <w:rPr>
          <w:rFonts w:ascii="Verdana" w:hAnsi="Verdana"/>
          <w:sz w:val="18"/>
          <w:szCs w:val="18"/>
        </w:rPr>
      </w:pPr>
    </w:p>
    <w:p w14:paraId="416DF22B" w14:textId="77777777" w:rsidR="007A5AEA" w:rsidRPr="00EC51C2" w:rsidRDefault="007A5AEA" w:rsidP="007A5AEA">
      <w:pPr>
        <w:pStyle w:val="Lijstalinea"/>
        <w:numPr>
          <w:ilvl w:val="2"/>
          <w:numId w:val="7"/>
        </w:numPr>
        <w:ind w:left="993" w:hanging="284"/>
        <w:rPr>
          <w:rFonts w:ascii="Verdana" w:hAnsi="Verdana"/>
          <w:sz w:val="18"/>
          <w:szCs w:val="18"/>
        </w:rPr>
      </w:pPr>
      <w:r w:rsidRPr="00EC51C2">
        <w:rPr>
          <w:rFonts w:ascii="Verdana" w:hAnsi="Verdana"/>
          <w:sz w:val="18"/>
          <w:szCs w:val="18"/>
        </w:rPr>
        <w:t>Bij een eventuele overschrijding berekent het model het bedrag van de overschrijding.</w:t>
      </w:r>
    </w:p>
    <w:p w14:paraId="31F02E92" w14:textId="26954CF3" w:rsidR="00BA789B" w:rsidRPr="00EC51C2" w:rsidRDefault="007A5AEA" w:rsidP="00DA6A78">
      <w:pPr>
        <w:pStyle w:val="Lijstalinea"/>
        <w:numPr>
          <w:ilvl w:val="2"/>
          <w:numId w:val="7"/>
        </w:numPr>
        <w:ind w:left="993" w:hanging="284"/>
        <w:rPr>
          <w:rFonts w:ascii="Verdana" w:hAnsi="Verdana"/>
          <w:sz w:val="18"/>
          <w:szCs w:val="18"/>
        </w:rPr>
      </w:pPr>
      <w:r w:rsidRPr="00EC51C2">
        <w:rPr>
          <w:rFonts w:ascii="Verdana" w:hAnsi="Verdana"/>
          <w:sz w:val="18"/>
          <w:szCs w:val="18"/>
        </w:rPr>
        <w:t xml:space="preserve">De instelling kan in dat geval in overleg met het zorgkantoor een aanvulling aanvragen op het kwaliteitsbudget bij de extra budgetronde op 1 april of bij de herschikking in november. Een voorwaarde daarbij is dat het past binnen het landelijke kader </w:t>
      </w:r>
      <w:r w:rsidR="00E76C65" w:rsidRPr="00EC51C2">
        <w:rPr>
          <w:rFonts w:ascii="Verdana" w:hAnsi="Verdana"/>
          <w:sz w:val="18"/>
          <w:szCs w:val="18"/>
        </w:rPr>
        <w:t>voor 202</w:t>
      </w:r>
      <w:r w:rsidR="007C4FC9">
        <w:rPr>
          <w:rFonts w:ascii="Verdana" w:hAnsi="Verdana"/>
          <w:sz w:val="18"/>
          <w:szCs w:val="18"/>
        </w:rPr>
        <w:t>1</w:t>
      </w:r>
      <w:r w:rsidR="00E76C65" w:rsidRPr="00EC51C2">
        <w:rPr>
          <w:rFonts w:ascii="Verdana" w:hAnsi="Verdana"/>
          <w:sz w:val="18"/>
          <w:szCs w:val="18"/>
        </w:rPr>
        <w:t xml:space="preserve"> </w:t>
      </w:r>
      <w:r w:rsidRPr="00EC51C2">
        <w:rPr>
          <w:rFonts w:ascii="Verdana" w:hAnsi="Verdana"/>
          <w:sz w:val="18"/>
          <w:szCs w:val="18"/>
        </w:rPr>
        <w:t>van €</w:t>
      </w:r>
      <w:r w:rsidR="007D29FB" w:rsidRPr="00EC51C2">
        <w:rPr>
          <w:rFonts w:ascii="Verdana" w:hAnsi="Verdana"/>
          <w:sz w:val="18"/>
          <w:szCs w:val="18"/>
        </w:rPr>
        <w:t> </w:t>
      </w:r>
      <w:r w:rsidR="00F56B6F" w:rsidRPr="00EC51C2">
        <w:rPr>
          <w:rFonts w:ascii="Verdana" w:hAnsi="Verdana"/>
          <w:sz w:val="18"/>
          <w:szCs w:val="18"/>
        </w:rPr>
        <w:t>1.</w:t>
      </w:r>
      <w:r w:rsidR="007C4FC9">
        <w:rPr>
          <w:rFonts w:ascii="Verdana" w:hAnsi="Verdana"/>
          <w:sz w:val="18"/>
          <w:szCs w:val="18"/>
        </w:rPr>
        <w:t>450</w:t>
      </w:r>
      <w:r w:rsidRPr="00EC51C2">
        <w:rPr>
          <w:rFonts w:ascii="Verdana" w:hAnsi="Verdana"/>
          <w:sz w:val="18"/>
          <w:szCs w:val="18"/>
        </w:rPr>
        <w:t xml:space="preserve"> miljoen. </w:t>
      </w:r>
    </w:p>
    <w:p w14:paraId="663758E6" w14:textId="77777777" w:rsidR="000258F8" w:rsidRPr="00EC51C2" w:rsidRDefault="000258F8" w:rsidP="00DA6A78">
      <w:pPr>
        <w:pStyle w:val="Lijstalinea"/>
        <w:numPr>
          <w:ilvl w:val="2"/>
          <w:numId w:val="7"/>
        </w:numPr>
        <w:ind w:left="993" w:hanging="284"/>
        <w:rPr>
          <w:rFonts w:ascii="Verdana" w:hAnsi="Verdana"/>
          <w:sz w:val="18"/>
          <w:szCs w:val="18"/>
        </w:rPr>
      </w:pPr>
      <w:r w:rsidRPr="00EC51C2">
        <w:rPr>
          <w:rFonts w:ascii="Verdana" w:hAnsi="Verdana"/>
          <w:b/>
          <w:sz w:val="18"/>
          <w:szCs w:val="18"/>
        </w:rPr>
        <w:br w:type="page"/>
      </w:r>
    </w:p>
    <w:p w14:paraId="745A62CB" w14:textId="6EF05126" w:rsidR="00B57CCE" w:rsidRPr="00EC51C2" w:rsidRDefault="00B57CCE" w:rsidP="00B57CCE">
      <w:pPr>
        <w:rPr>
          <w:rFonts w:ascii="Verdana" w:hAnsi="Verdana"/>
          <w:b/>
          <w:sz w:val="18"/>
          <w:szCs w:val="18"/>
        </w:rPr>
      </w:pPr>
      <w:r w:rsidRPr="00EC51C2">
        <w:rPr>
          <w:rFonts w:ascii="Verdana" w:hAnsi="Verdana"/>
          <w:b/>
          <w:sz w:val="18"/>
          <w:szCs w:val="18"/>
        </w:rPr>
        <w:lastRenderedPageBreak/>
        <w:t xml:space="preserve">Deel </w:t>
      </w:r>
      <w:r w:rsidR="006C58DE" w:rsidRPr="00EC51C2">
        <w:rPr>
          <w:rFonts w:ascii="Verdana" w:hAnsi="Verdana"/>
          <w:b/>
          <w:sz w:val="18"/>
          <w:szCs w:val="18"/>
        </w:rPr>
        <w:t>II:</w:t>
      </w:r>
      <w:r w:rsidRPr="00EC51C2">
        <w:rPr>
          <w:rFonts w:ascii="Verdana" w:hAnsi="Verdana"/>
          <w:b/>
          <w:sz w:val="18"/>
          <w:szCs w:val="18"/>
        </w:rPr>
        <w:t xml:space="preserve"> Verantwoordingsmodel (afrekening na afloop van het jaar)</w:t>
      </w:r>
    </w:p>
    <w:p w14:paraId="4A8CED85" w14:textId="7DF59513" w:rsidR="00B57CCE" w:rsidRPr="00EC51C2" w:rsidRDefault="00B57CCE" w:rsidP="00B57CCE">
      <w:pPr>
        <w:rPr>
          <w:rFonts w:ascii="Verdana" w:hAnsi="Verdana"/>
          <w:sz w:val="18"/>
          <w:szCs w:val="18"/>
        </w:rPr>
      </w:pPr>
      <w:r w:rsidRPr="00EC51C2">
        <w:rPr>
          <w:rFonts w:ascii="Verdana" w:hAnsi="Verdana"/>
          <w:sz w:val="18"/>
          <w:szCs w:val="18"/>
        </w:rPr>
        <w:t xml:space="preserve">Het verantwoordingsmodel zal ten behoeve van de nacalculatie van het kwaliteitsbudget de stappen uit de begroting opnieuw doorlopen met realisatiegegevens. </w:t>
      </w:r>
      <w:r w:rsidR="001F3D24">
        <w:rPr>
          <w:rFonts w:ascii="Verdana" w:hAnsi="Verdana"/>
          <w:sz w:val="18"/>
          <w:szCs w:val="18"/>
        </w:rPr>
        <w:t xml:space="preserve">De </w:t>
      </w:r>
      <w:r w:rsidR="001E4B9F">
        <w:rPr>
          <w:rFonts w:ascii="Verdana" w:hAnsi="Verdana"/>
          <w:sz w:val="18"/>
          <w:szCs w:val="18"/>
        </w:rPr>
        <w:t xml:space="preserve">uiteindelijke </w:t>
      </w:r>
      <w:r w:rsidR="001F3D24">
        <w:rPr>
          <w:rFonts w:ascii="Verdana" w:hAnsi="Verdana"/>
          <w:sz w:val="18"/>
          <w:szCs w:val="18"/>
        </w:rPr>
        <w:t xml:space="preserve">verantwoording van het kwaliteitsbudget vindt </w:t>
      </w:r>
      <w:r w:rsidR="00E429EA">
        <w:rPr>
          <w:rFonts w:ascii="Verdana" w:hAnsi="Verdana"/>
          <w:sz w:val="18"/>
          <w:szCs w:val="18"/>
        </w:rPr>
        <w:t xml:space="preserve">plaats via het </w:t>
      </w:r>
      <w:proofErr w:type="spellStart"/>
      <w:r w:rsidR="00E429EA">
        <w:rPr>
          <w:rFonts w:ascii="Verdana" w:hAnsi="Verdana"/>
          <w:sz w:val="18"/>
          <w:szCs w:val="18"/>
        </w:rPr>
        <w:t>Vektis</w:t>
      </w:r>
      <w:proofErr w:type="spellEnd"/>
      <w:r w:rsidR="00E429EA">
        <w:rPr>
          <w:rFonts w:ascii="Verdana" w:hAnsi="Verdana"/>
          <w:sz w:val="18"/>
          <w:szCs w:val="18"/>
        </w:rPr>
        <w:t xml:space="preserve"> Portaal.</w:t>
      </w:r>
    </w:p>
    <w:p w14:paraId="1B80F730" w14:textId="48B5C930" w:rsidR="00B57CCE" w:rsidRPr="00EC51C2" w:rsidRDefault="00B57CCE" w:rsidP="00B57CCE">
      <w:pPr>
        <w:pStyle w:val="Lijstalinea"/>
        <w:numPr>
          <w:ilvl w:val="0"/>
          <w:numId w:val="7"/>
        </w:numPr>
        <w:rPr>
          <w:rFonts w:ascii="Verdana" w:hAnsi="Verdana"/>
          <w:sz w:val="18"/>
          <w:szCs w:val="18"/>
        </w:rPr>
      </w:pPr>
      <w:r w:rsidRPr="00EC51C2">
        <w:rPr>
          <w:rFonts w:ascii="Verdana" w:hAnsi="Verdana"/>
          <w:sz w:val="18"/>
          <w:szCs w:val="18"/>
        </w:rPr>
        <w:t>Voor de loonkosten in loondienst worden de gegevens uit de loonadministratie gebruikt en de realisatiegegevens van het aantal FTE zorgpersoneel in loondienst naar de onderscheiden categorieën. Zoals aangegeven bij stap 2 gebeurt dat door de realisatiegegevens van het aantal FTE per categorie over 2018 en 202</w:t>
      </w:r>
      <w:r w:rsidR="00967B76">
        <w:rPr>
          <w:rFonts w:ascii="Verdana" w:hAnsi="Verdana"/>
          <w:sz w:val="18"/>
          <w:szCs w:val="18"/>
        </w:rPr>
        <w:t>1</w:t>
      </w:r>
      <w:r w:rsidRPr="00EC51C2">
        <w:rPr>
          <w:rFonts w:ascii="Verdana" w:hAnsi="Verdana"/>
          <w:sz w:val="18"/>
          <w:szCs w:val="18"/>
        </w:rPr>
        <w:t xml:space="preserve"> (conform tabel 1a) te vermenigvuldigen met de gerealiseerde gemiddelde loonkosten per FTE per categorie (conform tabel 2a). Dit levert de daadwerkelijke toename op van de loonkosten in verband met de extra inzet van zorgpersoneel in loondienst. </w:t>
      </w:r>
    </w:p>
    <w:p w14:paraId="3D97A72F" w14:textId="63AF1A20" w:rsidR="00B57CCE" w:rsidRPr="00EC51C2" w:rsidRDefault="00B57CCE" w:rsidP="00B57CCE">
      <w:pPr>
        <w:pStyle w:val="Lijstalinea"/>
        <w:numPr>
          <w:ilvl w:val="0"/>
          <w:numId w:val="7"/>
        </w:numPr>
        <w:rPr>
          <w:rFonts w:ascii="Verdana" w:hAnsi="Verdana"/>
          <w:sz w:val="18"/>
          <w:szCs w:val="18"/>
        </w:rPr>
      </w:pPr>
      <w:r w:rsidRPr="00EC51C2">
        <w:rPr>
          <w:rFonts w:ascii="Verdana" w:hAnsi="Verdana"/>
          <w:sz w:val="18"/>
          <w:szCs w:val="18"/>
        </w:rPr>
        <w:t>Voor de kosten van inhuur van personeel niet in loondienst geeft u bij de verantwoording over 202</w:t>
      </w:r>
      <w:r w:rsidR="00967B76">
        <w:rPr>
          <w:rFonts w:ascii="Verdana" w:hAnsi="Verdana"/>
          <w:sz w:val="18"/>
          <w:szCs w:val="18"/>
        </w:rPr>
        <w:t>1</w:t>
      </w:r>
      <w:r w:rsidRPr="00EC51C2">
        <w:rPr>
          <w:rFonts w:ascii="Verdana" w:hAnsi="Verdana"/>
          <w:sz w:val="18"/>
          <w:szCs w:val="18"/>
        </w:rPr>
        <w:t xml:space="preserve"> het aantal ingehuurde FTE en de bijbehorende kosten op voor de jaren 2018, 2019</w:t>
      </w:r>
      <w:r w:rsidR="00967B76">
        <w:rPr>
          <w:rFonts w:ascii="Verdana" w:hAnsi="Verdana"/>
          <w:sz w:val="18"/>
          <w:szCs w:val="18"/>
        </w:rPr>
        <w:t>, 2020</w:t>
      </w:r>
      <w:r w:rsidRPr="00EC51C2">
        <w:rPr>
          <w:rFonts w:ascii="Verdana" w:hAnsi="Verdana"/>
          <w:sz w:val="18"/>
          <w:szCs w:val="18"/>
        </w:rPr>
        <w:t xml:space="preserve"> en 202</w:t>
      </w:r>
      <w:r w:rsidR="00967B76">
        <w:rPr>
          <w:rFonts w:ascii="Verdana" w:hAnsi="Verdana"/>
          <w:sz w:val="18"/>
          <w:szCs w:val="18"/>
        </w:rPr>
        <w:t>1</w:t>
      </w:r>
      <w:r w:rsidRPr="00EC51C2">
        <w:rPr>
          <w:rFonts w:ascii="Verdana" w:hAnsi="Verdana"/>
          <w:sz w:val="18"/>
          <w:szCs w:val="18"/>
        </w:rPr>
        <w:t>. Het model berekent de vergoeding via het kwaliteitsbudget. Daarbij houdt het rekening met de afspraken over compensatie voor doelmatigheidswinst, indien er in 202</w:t>
      </w:r>
      <w:r w:rsidR="00967B76">
        <w:rPr>
          <w:rFonts w:ascii="Verdana" w:hAnsi="Verdana"/>
          <w:sz w:val="18"/>
          <w:szCs w:val="18"/>
        </w:rPr>
        <w:t>1</w:t>
      </w:r>
      <w:r w:rsidRPr="00EC51C2">
        <w:rPr>
          <w:rFonts w:ascii="Verdana" w:hAnsi="Verdana"/>
          <w:sz w:val="18"/>
          <w:szCs w:val="18"/>
        </w:rPr>
        <w:t xml:space="preserve"> sprake is van afbouw van de inhuur ten opzichte van het basisjaar 2018. </w:t>
      </w:r>
    </w:p>
    <w:p w14:paraId="7DF57922" w14:textId="045A7C43" w:rsidR="00B57CCE" w:rsidRPr="00C91F49" w:rsidRDefault="00B57CCE" w:rsidP="00B57CCE">
      <w:pPr>
        <w:pStyle w:val="Lijstalinea"/>
        <w:numPr>
          <w:ilvl w:val="0"/>
          <w:numId w:val="7"/>
        </w:numPr>
        <w:rPr>
          <w:rFonts w:ascii="Verdana" w:hAnsi="Verdana"/>
          <w:sz w:val="18"/>
          <w:szCs w:val="18"/>
        </w:rPr>
      </w:pPr>
      <w:r w:rsidRPr="00C91F49">
        <w:rPr>
          <w:rFonts w:ascii="Verdana" w:hAnsi="Verdana"/>
          <w:sz w:val="18"/>
          <w:szCs w:val="18"/>
        </w:rPr>
        <w:t>De correctie voor cliëntenaantal/mix wordt gedaan op basis van de gegevens vanuit de nacalculatie. Realisatie van het aantal gedeclareerde dagen per prestatie conform reguliere nacalculatie over basisjaar 2018 en over realisatiejaar 202</w:t>
      </w:r>
      <w:r w:rsidR="00967B76">
        <w:rPr>
          <w:rFonts w:ascii="Verdana" w:hAnsi="Verdana"/>
          <w:sz w:val="18"/>
          <w:szCs w:val="18"/>
        </w:rPr>
        <w:t>1</w:t>
      </w:r>
      <w:r w:rsidRPr="00C91F49">
        <w:rPr>
          <w:rFonts w:ascii="Verdana" w:hAnsi="Verdana"/>
          <w:sz w:val="18"/>
          <w:szCs w:val="18"/>
        </w:rPr>
        <w:t xml:space="preserve"> wordt gebruikt om het kwaliteitsbudget 202</w:t>
      </w:r>
      <w:r w:rsidR="00967B76">
        <w:rPr>
          <w:rFonts w:ascii="Verdana" w:hAnsi="Verdana"/>
          <w:sz w:val="18"/>
          <w:szCs w:val="18"/>
        </w:rPr>
        <w:t>1</w:t>
      </w:r>
      <w:r w:rsidRPr="00C91F49">
        <w:rPr>
          <w:rFonts w:ascii="Verdana" w:hAnsi="Verdana"/>
          <w:sz w:val="18"/>
          <w:szCs w:val="18"/>
        </w:rPr>
        <w:t xml:space="preserve"> (conform de methode in tabel 4) te corrigeren voor dubbele bekostiging via basistarief (bij stijging aantal cliënten c.q. verzwaring cliëntenmix) of voor tekortschietende bekostiging via kwaliteitsbudget (bij afname aantal cliënten en daardoor afnemende vergoeding basistarief).</w:t>
      </w:r>
    </w:p>
    <w:p w14:paraId="4D34FCFF" w14:textId="77777777" w:rsidR="00B57CCE" w:rsidRPr="00EC51C2" w:rsidRDefault="00B57CCE" w:rsidP="00B57CCE">
      <w:pPr>
        <w:pStyle w:val="Lijstalinea"/>
        <w:numPr>
          <w:ilvl w:val="0"/>
          <w:numId w:val="7"/>
        </w:numPr>
        <w:rPr>
          <w:rFonts w:ascii="Verdana" w:hAnsi="Verdana"/>
          <w:sz w:val="18"/>
          <w:szCs w:val="18"/>
        </w:rPr>
      </w:pPr>
      <w:r w:rsidRPr="00EC51C2">
        <w:rPr>
          <w:rFonts w:ascii="Verdana" w:hAnsi="Verdana"/>
          <w:sz w:val="18"/>
          <w:szCs w:val="18"/>
        </w:rPr>
        <w:t>Dit is uitgewerkt in onderstaande tabellen. De realisatiegegevens wijken in het voorbeeld af van de gegevens die zijn opgenomen in het voorbeeld bij de begroting.</w:t>
      </w:r>
    </w:p>
    <w:p w14:paraId="04DA8EFE" w14:textId="6BF2B323" w:rsidR="00B57CCE" w:rsidRDefault="00B57CCE" w:rsidP="00B57CCE">
      <w:pPr>
        <w:rPr>
          <w:rFonts w:ascii="Verdana" w:hAnsi="Verdana"/>
          <w:sz w:val="18"/>
          <w:szCs w:val="18"/>
        </w:rPr>
      </w:pPr>
      <w:r w:rsidRPr="00EC51C2">
        <w:rPr>
          <w:rFonts w:ascii="Verdana" w:hAnsi="Verdana"/>
          <w:sz w:val="18"/>
          <w:szCs w:val="18"/>
        </w:rPr>
        <w:t>Een rapport van feitelijke bevindingen van de accountant is noodzakelijk voor de verantwoording, de kosten voor deze extra verklaring kunnen vanuit de 15% gefinancierd worden. Het accountantsprotocol voor het kwaliteitsbudget zal worden geactualiseerd naar 202</w:t>
      </w:r>
      <w:r w:rsidR="002A44CD">
        <w:rPr>
          <w:rFonts w:ascii="Verdana" w:hAnsi="Verdana"/>
          <w:sz w:val="18"/>
          <w:szCs w:val="18"/>
        </w:rPr>
        <w:t>1</w:t>
      </w:r>
      <w:r w:rsidRPr="00EC51C2">
        <w:rPr>
          <w:rFonts w:ascii="Verdana" w:hAnsi="Verdana"/>
          <w:sz w:val="18"/>
          <w:szCs w:val="18"/>
        </w:rPr>
        <w:t>.</w:t>
      </w:r>
    </w:p>
    <w:p w14:paraId="4FAC5D45" w14:textId="77777777" w:rsidR="00B57CCE" w:rsidRPr="00EC51C2" w:rsidRDefault="00B57CCE" w:rsidP="00B57CCE">
      <w:pPr>
        <w:rPr>
          <w:rFonts w:ascii="Verdana" w:hAnsi="Verdana"/>
          <w:b/>
          <w:sz w:val="18"/>
          <w:szCs w:val="18"/>
        </w:rPr>
      </w:pPr>
      <w:r w:rsidRPr="00EC51C2">
        <w:rPr>
          <w:rFonts w:ascii="Verdana" w:hAnsi="Verdana"/>
          <w:b/>
          <w:sz w:val="18"/>
          <w:szCs w:val="18"/>
        </w:rPr>
        <w:br w:type="page"/>
      </w:r>
    </w:p>
    <w:p w14:paraId="22830658" w14:textId="6BA8E632" w:rsidR="00B57CCE" w:rsidRPr="00EC51C2" w:rsidRDefault="00B57CCE" w:rsidP="00B57CCE">
      <w:pPr>
        <w:rPr>
          <w:rFonts w:ascii="Verdana" w:hAnsi="Verdana"/>
          <w:b/>
          <w:sz w:val="18"/>
          <w:szCs w:val="18"/>
        </w:rPr>
      </w:pPr>
      <w:r w:rsidRPr="00EC51C2">
        <w:rPr>
          <w:rFonts w:ascii="Verdana" w:hAnsi="Verdana"/>
          <w:b/>
          <w:sz w:val="18"/>
          <w:szCs w:val="18"/>
        </w:rPr>
        <w:lastRenderedPageBreak/>
        <w:t>Voorbeeld afrekening kwaliteitsbudget in verband met inzet extra zorgpersoneel (inclusief inhuur) in 202</w:t>
      </w:r>
      <w:r w:rsidR="002A44CD">
        <w:rPr>
          <w:rFonts w:ascii="Verdana" w:hAnsi="Verdana"/>
          <w:b/>
          <w:sz w:val="18"/>
          <w:szCs w:val="18"/>
        </w:rPr>
        <w:t>1</w:t>
      </w:r>
    </w:p>
    <w:p w14:paraId="1797357D" w14:textId="535EAF75" w:rsidR="00B57CCE" w:rsidRPr="00EC51C2" w:rsidRDefault="00B57CCE" w:rsidP="00B57CCE">
      <w:pPr>
        <w:rPr>
          <w:rFonts w:ascii="Verdana" w:hAnsi="Verdana"/>
          <w:sz w:val="18"/>
          <w:szCs w:val="18"/>
        </w:rPr>
      </w:pPr>
      <w:r w:rsidRPr="00EC51C2">
        <w:rPr>
          <w:rFonts w:ascii="Verdana" w:hAnsi="Verdana"/>
          <w:b/>
          <w:sz w:val="18"/>
          <w:szCs w:val="18"/>
        </w:rPr>
        <w:t>Stap 1 en 2:</w:t>
      </w:r>
      <w:r w:rsidRPr="00EC51C2">
        <w:rPr>
          <w:rFonts w:ascii="Verdana" w:hAnsi="Verdana"/>
          <w:sz w:val="18"/>
          <w:szCs w:val="18"/>
        </w:rPr>
        <w:t xml:space="preserve"> Geef in tabel R1/2 voor de jaren 2018 en 202</w:t>
      </w:r>
      <w:r w:rsidR="002A44CD">
        <w:rPr>
          <w:rFonts w:ascii="Verdana" w:hAnsi="Verdana"/>
          <w:sz w:val="18"/>
          <w:szCs w:val="18"/>
        </w:rPr>
        <w:t>1</w:t>
      </w:r>
      <w:r w:rsidRPr="00EC51C2">
        <w:rPr>
          <w:rFonts w:ascii="Verdana" w:hAnsi="Verdana"/>
          <w:sz w:val="18"/>
          <w:szCs w:val="18"/>
        </w:rPr>
        <w:t xml:space="preserve"> per categorie de realisatiegegevens op voor het gemiddeld aantal FTE zorgpersoneel (kolom 1 en 2) en de gemiddelde loonkosten per fte (kolom 3 en 4). Het model berekent op basis van het aantal extra FTE ten opzichte van basisjaar 2018 en de gemiddelde loonkosten per categorie in 202</w:t>
      </w:r>
      <w:r w:rsidR="002A44CD">
        <w:rPr>
          <w:rFonts w:ascii="Verdana" w:hAnsi="Verdana"/>
          <w:sz w:val="18"/>
          <w:szCs w:val="18"/>
        </w:rPr>
        <w:t>1</w:t>
      </w:r>
      <w:r w:rsidRPr="00EC51C2">
        <w:rPr>
          <w:rFonts w:ascii="Verdana" w:hAnsi="Verdana"/>
          <w:sz w:val="18"/>
          <w:szCs w:val="18"/>
        </w:rPr>
        <w:t xml:space="preserve"> het bedrag aan loonkosten dat ten laste komt van het kwaliteitsbudget 202</w:t>
      </w:r>
      <w:r w:rsidR="002A44CD">
        <w:rPr>
          <w:rFonts w:ascii="Verdana" w:hAnsi="Verdana"/>
          <w:sz w:val="18"/>
          <w:szCs w:val="18"/>
        </w:rPr>
        <w:t>1</w:t>
      </w:r>
      <w:r w:rsidRPr="00EC51C2">
        <w:rPr>
          <w:rFonts w:ascii="Verdana" w:hAnsi="Verdana"/>
          <w:sz w:val="18"/>
          <w:szCs w:val="18"/>
        </w:rPr>
        <w:t xml:space="preserve">. </w:t>
      </w:r>
    </w:p>
    <w:p w14:paraId="1EEBB5E2" w14:textId="727DFEC8" w:rsidR="00B57CCE" w:rsidRPr="00EC51C2" w:rsidRDefault="00B57CCE" w:rsidP="00B57CCE">
      <w:pPr>
        <w:pStyle w:val="Lijstalinea"/>
        <w:numPr>
          <w:ilvl w:val="0"/>
          <w:numId w:val="26"/>
        </w:numPr>
        <w:rPr>
          <w:rFonts w:ascii="Verdana" w:hAnsi="Verdana"/>
          <w:sz w:val="18"/>
          <w:szCs w:val="18"/>
        </w:rPr>
      </w:pPr>
      <w:r w:rsidRPr="00EC51C2">
        <w:rPr>
          <w:rFonts w:ascii="Verdana" w:hAnsi="Verdana"/>
          <w:sz w:val="18"/>
          <w:szCs w:val="18"/>
        </w:rPr>
        <w:t>In het voorbeeld heeft de zorgaanbieder in 202</w:t>
      </w:r>
      <w:r w:rsidR="002A44CD">
        <w:rPr>
          <w:rFonts w:ascii="Verdana" w:hAnsi="Verdana"/>
          <w:sz w:val="18"/>
          <w:szCs w:val="18"/>
        </w:rPr>
        <w:t>1</w:t>
      </w:r>
      <w:r w:rsidRPr="00EC51C2">
        <w:rPr>
          <w:rFonts w:ascii="Verdana" w:hAnsi="Verdana"/>
          <w:sz w:val="18"/>
          <w:szCs w:val="18"/>
        </w:rPr>
        <w:t xml:space="preserve"> gemiddeld gedurende het jaar 20 extra FTE aan niveau 1 medewerkers ingezet (kolom 3). </w:t>
      </w:r>
    </w:p>
    <w:p w14:paraId="53AD5ECA" w14:textId="66A43258" w:rsidR="00B57CCE" w:rsidRPr="00EC51C2" w:rsidRDefault="00B57CCE" w:rsidP="00B57CCE">
      <w:pPr>
        <w:pStyle w:val="Lijstalinea"/>
        <w:numPr>
          <w:ilvl w:val="0"/>
          <w:numId w:val="26"/>
        </w:numPr>
        <w:rPr>
          <w:rFonts w:ascii="Verdana" w:hAnsi="Verdana"/>
          <w:sz w:val="18"/>
          <w:szCs w:val="18"/>
        </w:rPr>
      </w:pPr>
      <w:r w:rsidRPr="00EC51C2">
        <w:rPr>
          <w:rFonts w:ascii="Verdana" w:hAnsi="Verdana"/>
          <w:sz w:val="18"/>
          <w:szCs w:val="18"/>
        </w:rPr>
        <w:t>Dat is het verschil tussen de gemiddelde inzet van niveau 1 medewerkers in 2018 (65 FTE op jaarbasis, opgenomen in kolom 1) en de inzet in 202</w:t>
      </w:r>
      <w:r w:rsidR="002A44CD">
        <w:rPr>
          <w:rFonts w:ascii="Verdana" w:hAnsi="Verdana"/>
          <w:sz w:val="18"/>
          <w:szCs w:val="18"/>
        </w:rPr>
        <w:t>1</w:t>
      </w:r>
      <w:r w:rsidRPr="00EC51C2">
        <w:rPr>
          <w:rFonts w:ascii="Verdana" w:hAnsi="Verdana"/>
          <w:sz w:val="18"/>
          <w:szCs w:val="18"/>
        </w:rPr>
        <w:t xml:space="preserve"> (85 FTE op jaarbasis, opgenomen in kolom 2). </w:t>
      </w:r>
    </w:p>
    <w:p w14:paraId="3D1A545C" w14:textId="442C4531" w:rsidR="00B57CCE" w:rsidRPr="00EC51C2" w:rsidRDefault="00B57CCE" w:rsidP="00B57CCE">
      <w:pPr>
        <w:pStyle w:val="Lijstalinea"/>
        <w:numPr>
          <w:ilvl w:val="0"/>
          <w:numId w:val="26"/>
        </w:numPr>
        <w:rPr>
          <w:rFonts w:ascii="Verdana" w:hAnsi="Verdana"/>
          <w:sz w:val="18"/>
          <w:szCs w:val="18"/>
        </w:rPr>
      </w:pPr>
      <w:r w:rsidRPr="00EC51C2">
        <w:rPr>
          <w:rFonts w:ascii="Verdana" w:hAnsi="Verdana"/>
          <w:sz w:val="18"/>
          <w:szCs w:val="18"/>
        </w:rPr>
        <w:t>Bij de gerealiseerde gemiddelde loonkosten voor alle niveau 1 medewerkers van € 31.200 per FTE in 2020 (kolom 5) leidt dit tot een bedrag van € 624.000 dat als extra loonkosten ten laste van het kwaliteitsbudget 202</w:t>
      </w:r>
      <w:r w:rsidR="002A44CD">
        <w:rPr>
          <w:rFonts w:ascii="Verdana" w:hAnsi="Verdana"/>
          <w:sz w:val="18"/>
          <w:szCs w:val="18"/>
        </w:rPr>
        <w:t>1</w:t>
      </w:r>
      <w:r w:rsidRPr="00EC51C2">
        <w:rPr>
          <w:rFonts w:ascii="Verdana" w:hAnsi="Verdana"/>
          <w:sz w:val="18"/>
          <w:szCs w:val="18"/>
        </w:rPr>
        <w:t xml:space="preserve"> mag worden gebracht.</w:t>
      </w:r>
    </w:p>
    <w:p w14:paraId="36231342" w14:textId="77777777" w:rsidR="00B57CCE" w:rsidRPr="00EC51C2" w:rsidRDefault="00B57CCE" w:rsidP="00B57CCE">
      <w:pPr>
        <w:pStyle w:val="Lijstalinea"/>
        <w:numPr>
          <w:ilvl w:val="0"/>
          <w:numId w:val="26"/>
        </w:numPr>
        <w:rPr>
          <w:rFonts w:ascii="Verdana" w:hAnsi="Verdana"/>
          <w:sz w:val="18"/>
          <w:szCs w:val="18"/>
        </w:rPr>
      </w:pPr>
      <w:r w:rsidRPr="00EC51C2">
        <w:rPr>
          <w:rFonts w:ascii="Verdana" w:hAnsi="Verdana"/>
          <w:sz w:val="18"/>
          <w:szCs w:val="18"/>
        </w:rPr>
        <w:t>Op vergelijkbare wijze is de extra inzet voor de overige categorieën doorgerekend naar extra loonkosten. Op regel 2.1 is het saldo-effect opgenomen. In het fictieve voorbeeld gaat het om extra loonkosten voor zorgpersoneel in loondienst van € 7.172.350. Dat bedrag wordt meegenomen bij de totaalafrekening in tabel R5.</w:t>
      </w:r>
    </w:p>
    <w:p w14:paraId="7AA6898A" w14:textId="77777777" w:rsidR="00B57CCE" w:rsidRPr="00EC51C2" w:rsidRDefault="00B57CCE" w:rsidP="00B57CCE">
      <w:pPr>
        <w:pStyle w:val="Lijstalinea"/>
        <w:numPr>
          <w:ilvl w:val="0"/>
          <w:numId w:val="26"/>
        </w:numPr>
        <w:rPr>
          <w:rFonts w:ascii="Verdana" w:hAnsi="Verdana"/>
          <w:sz w:val="18"/>
          <w:szCs w:val="18"/>
        </w:rPr>
      </w:pPr>
      <w:r w:rsidRPr="00EC51C2">
        <w:rPr>
          <w:rFonts w:ascii="Verdana" w:hAnsi="Verdana"/>
          <w:sz w:val="18"/>
          <w:szCs w:val="18"/>
        </w:rPr>
        <w:t xml:space="preserve">Uiteraard is het ook mogelijk dat bij de realisatie blijkt dat bijvoorbeeld het aantal FTE op niveau 2 is afgenomen, terwijl het aantal </w:t>
      </w:r>
      <w:proofErr w:type="spellStart"/>
      <w:r w:rsidRPr="00EC51C2">
        <w:rPr>
          <w:rFonts w:ascii="Verdana" w:hAnsi="Verdana"/>
          <w:sz w:val="18"/>
          <w:szCs w:val="18"/>
        </w:rPr>
        <w:t>FTE’s</w:t>
      </w:r>
      <w:proofErr w:type="spellEnd"/>
      <w:r w:rsidRPr="00EC51C2">
        <w:rPr>
          <w:rFonts w:ascii="Verdana" w:hAnsi="Verdana"/>
          <w:sz w:val="18"/>
          <w:szCs w:val="18"/>
        </w:rPr>
        <w:t xml:space="preserve"> op de overige niveaus is toegenomen. Het model rekent dan het saldo-effect uit. Uiteraard kan het kwaliteitsbudget zelf niet lager zijn dan nihil.</w:t>
      </w:r>
    </w:p>
    <w:p w14:paraId="61F766AC" w14:textId="6EB2DC2C" w:rsidR="00B57CCE" w:rsidRPr="00EC51C2" w:rsidRDefault="00A82092" w:rsidP="00B57CCE">
      <w:pPr>
        <w:rPr>
          <w:rFonts w:ascii="Verdana" w:hAnsi="Verdana"/>
          <w:sz w:val="18"/>
          <w:szCs w:val="18"/>
        </w:rPr>
      </w:pPr>
      <w:r w:rsidRPr="00A82092">
        <w:rPr>
          <w:rFonts w:ascii="Verdana" w:hAnsi="Verdana"/>
          <w:sz w:val="18"/>
          <w:szCs w:val="18"/>
        </w:rPr>
        <w:t xml:space="preserve"> </w:t>
      </w:r>
      <w:r w:rsidRPr="00A82092">
        <w:rPr>
          <w:noProof/>
        </w:rPr>
        <w:drawing>
          <wp:inline distT="0" distB="0" distL="0" distR="0" wp14:anchorId="14CF81DA" wp14:editId="2B8D9D2D">
            <wp:extent cx="5760720" cy="1522730"/>
            <wp:effectExtent l="0" t="0" r="0" b="127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522730"/>
                    </a:xfrm>
                    <a:prstGeom prst="rect">
                      <a:avLst/>
                    </a:prstGeom>
                    <a:noFill/>
                    <a:ln>
                      <a:noFill/>
                    </a:ln>
                  </pic:spPr>
                </pic:pic>
              </a:graphicData>
            </a:graphic>
          </wp:inline>
        </w:drawing>
      </w:r>
    </w:p>
    <w:p w14:paraId="6B2AB1EB" w14:textId="77777777" w:rsidR="00B57CCE" w:rsidRPr="00EC51C2" w:rsidRDefault="00B57CCE" w:rsidP="00B57CCE">
      <w:pPr>
        <w:rPr>
          <w:rFonts w:ascii="Verdana" w:hAnsi="Verdana"/>
          <w:sz w:val="18"/>
          <w:szCs w:val="18"/>
        </w:rPr>
      </w:pPr>
      <w:r w:rsidRPr="00EC51C2">
        <w:rPr>
          <w:rFonts w:ascii="Verdana" w:hAnsi="Verdana"/>
          <w:b/>
          <w:sz w:val="18"/>
          <w:szCs w:val="18"/>
        </w:rPr>
        <w:t>Stap 3:</w:t>
      </w:r>
      <w:r w:rsidRPr="00EC51C2">
        <w:rPr>
          <w:rFonts w:ascii="Verdana" w:hAnsi="Verdana"/>
          <w:sz w:val="18"/>
          <w:szCs w:val="18"/>
        </w:rPr>
        <w:t xml:space="preserve"> Geef in tabel R3 voor de jaren 2018, 2019 en 2020 de realisatiegegevens op met betrekking tot het aantal FTE en het bedrag voor de inhuur van zorgpersoneel (flexibel personeel en zelfstandigen).</w:t>
      </w:r>
    </w:p>
    <w:p w14:paraId="5FF8719D" w14:textId="77777777" w:rsidR="00B57CCE" w:rsidRPr="00EC51C2" w:rsidRDefault="00B57CCE" w:rsidP="00B57CCE">
      <w:pPr>
        <w:rPr>
          <w:rFonts w:ascii="Verdana" w:hAnsi="Verdana"/>
          <w:sz w:val="18"/>
          <w:szCs w:val="18"/>
        </w:rPr>
      </w:pPr>
      <w:r w:rsidRPr="00EC51C2">
        <w:rPr>
          <w:rFonts w:ascii="Verdana" w:hAnsi="Verdana"/>
          <w:sz w:val="18"/>
          <w:szCs w:val="18"/>
        </w:rPr>
        <w:t>De vergoeding vanuit het kwaliteitsbudget wordt via een aantal stappen berekend:</w:t>
      </w:r>
    </w:p>
    <w:p w14:paraId="592B8DF1" w14:textId="210A040A" w:rsidR="00B57CCE" w:rsidRPr="00EC51C2" w:rsidRDefault="00B57CCE" w:rsidP="00B57CCE">
      <w:pPr>
        <w:rPr>
          <w:rFonts w:ascii="Verdana" w:hAnsi="Verdana"/>
          <w:sz w:val="18"/>
          <w:szCs w:val="18"/>
        </w:rPr>
      </w:pPr>
      <w:r w:rsidRPr="00EC51C2">
        <w:rPr>
          <w:rFonts w:ascii="Verdana" w:hAnsi="Verdana"/>
          <w:sz w:val="18"/>
          <w:szCs w:val="18"/>
        </w:rPr>
        <w:t>Regel 3.1: In het voorbeeld is sprake van een instelling waarbij het gemiddelde aantal ingehuurde FTE op jaarbasis is afgenomen van 61 in 2018 naar 51 in 202</w:t>
      </w:r>
      <w:r w:rsidR="002A44CD">
        <w:rPr>
          <w:rFonts w:ascii="Verdana" w:hAnsi="Verdana"/>
          <w:sz w:val="18"/>
          <w:szCs w:val="18"/>
        </w:rPr>
        <w:t>1</w:t>
      </w:r>
      <w:r w:rsidRPr="00EC51C2">
        <w:rPr>
          <w:rFonts w:ascii="Verdana" w:hAnsi="Verdana"/>
          <w:sz w:val="18"/>
          <w:szCs w:val="18"/>
        </w:rPr>
        <w:t>. De inhuurkosten zijn afgenomen van € 3,05 miljoen in 2018 naar € 2,7 miljoen in 202</w:t>
      </w:r>
      <w:r w:rsidR="002A44CD">
        <w:rPr>
          <w:rFonts w:ascii="Verdana" w:hAnsi="Verdana"/>
          <w:sz w:val="18"/>
          <w:szCs w:val="18"/>
        </w:rPr>
        <w:t>1</w:t>
      </w:r>
      <w:r w:rsidRPr="00EC51C2">
        <w:rPr>
          <w:rFonts w:ascii="Verdana" w:hAnsi="Verdana"/>
          <w:sz w:val="18"/>
          <w:szCs w:val="18"/>
        </w:rPr>
        <w:t xml:space="preserve">. </w:t>
      </w:r>
    </w:p>
    <w:p w14:paraId="76F144B1" w14:textId="1849A5C3" w:rsidR="00B57CCE" w:rsidRPr="00EC51C2" w:rsidRDefault="00B57CCE" w:rsidP="00B57CCE">
      <w:pPr>
        <w:rPr>
          <w:rFonts w:ascii="Verdana" w:hAnsi="Verdana"/>
          <w:sz w:val="18"/>
          <w:szCs w:val="18"/>
        </w:rPr>
      </w:pPr>
      <w:r w:rsidRPr="00EC51C2">
        <w:rPr>
          <w:rFonts w:ascii="Verdana" w:hAnsi="Verdana"/>
          <w:sz w:val="18"/>
          <w:szCs w:val="18"/>
        </w:rPr>
        <w:t>Regel 3.2 laat zien dat er dus sprake is van een verlaging van de inhuur van zorgpersoneel in 202</w:t>
      </w:r>
      <w:r w:rsidR="002A44CD">
        <w:rPr>
          <w:rFonts w:ascii="Verdana" w:hAnsi="Verdana"/>
          <w:sz w:val="18"/>
          <w:szCs w:val="18"/>
        </w:rPr>
        <w:t>1</w:t>
      </w:r>
      <w:r w:rsidRPr="00EC51C2">
        <w:rPr>
          <w:rFonts w:ascii="Verdana" w:hAnsi="Verdana"/>
          <w:sz w:val="18"/>
          <w:szCs w:val="18"/>
        </w:rPr>
        <w:t xml:space="preserve"> ten opzichte van basisjaar met € 350.000. Dit bedrag wordt meegenomen bij de totaalafrekening in tabel R5.</w:t>
      </w:r>
    </w:p>
    <w:p w14:paraId="20E53AF4" w14:textId="40F8FBD4" w:rsidR="00B57CCE" w:rsidRPr="00EC51C2" w:rsidRDefault="00B57CCE" w:rsidP="00B57CCE">
      <w:pPr>
        <w:rPr>
          <w:rFonts w:ascii="Verdana" w:hAnsi="Verdana"/>
          <w:sz w:val="18"/>
          <w:szCs w:val="18"/>
        </w:rPr>
      </w:pPr>
      <w:r w:rsidRPr="00EC51C2">
        <w:rPr>
          <w:rFonts w:ascii="Verdana" w:hAnsi="Verdana"/>
          <w:sz w:val="18"/>
          <w:szCs w:val="18"/>
        </w:rPr>
        <w:t>Regel 3.3 en 3.4 berekenen de compensatie voor doelmatigheidswinst indien het bedrag van de inhuur PNIL is afgebouwd ten opzichte van basisjaar 2018. In het voorbeeld is het inhuurbedrag zowel gedaald in 2019 (met € 170.000 ten opzichte van basisjaar 2018) als in 202</w:t>
      </w:r>
      <w:r w:rsidR="002A44CD">
        <w:rPr>
          <w:rFonts w:ascii="Verdana" w:hAnsi="Verdana"/>
          <w:sz w:val="18"/>
          <w:szCs w:val="18"/>
        </w:rPr>
        <w:t>1</w:t>
      </w:r>
      <w:r w:rsidRPr="00EC51C2">
        <w:rPr>
          <w:rFonts w:ascii="Verdana" w:hAnsi="Verdana"/>
          <w:sz w:val="18"/>
          <w:szCs w:val="18"/>
        </w:rPr>
        <w:t xml:space="preserve"> (met € 350.000 ten opzichte van basisjaar 2018). Het model berekent automatisch de compensatie die van toepassing is. De compensatie komt overeen met 1/3 deel van het afgebouwde inhuurbedrag. </w:t>
      </w:r>
      <w:r w:rsidRPr="00EC51C2">
        <w:rPr>
          <w:rFonts w:ascii="Verdana" w:hAnsi="Verdana"/>
          <w:sz w:val="18"/>
          <w:szCs w:val="18"/>
        </w:rPr>
        <w:lastRenderedPageBreak/>
        <w:t>Regel 3.3 berekent dat het over 2019 gaat om 1/3 maal € 170.000 = € 56.667 en over 202</w:t>
      </w:r>
      <w:r w:rsidR="002A44CD">
        <w:rPr>
          <w:rFonts w:ascii="Verdana" w:hAnsi="Verdana"/>
          <w:sz w:val="18"/>
          <w:szCs w:val="18"/>
        </w:rPr>
        <w:t>1</w:t>
      </w:r>
      <w:r w:rsidRPr="00EC51C2">
        <w:rPr>
          <w:rFonts w:ascii="Verdana" w:hAnsi="Verdana"/>
          <w:sz w:val="18"/>
          <w:szCs w:val="18"/>
        </w:rPr>
        <w:t xml:space="preserve"> gaat om een bedrag van 1/3 maal € 350.000 = € 116.667. Regel 3.4 berekent (indien van toepassing) het totaalbedrag van de compensatie over 2019 en 2020. In het voorbeeld gaat het om een bedrag van € 173.333. Dit bedrag wordt meegenomen bij de totaalafrekening in tabel R5.</w:t>
      </w:r>
    </w:p>
    <w:p w14:paraId="151377D6" w14:textId="77777777" w:rsidR="00B57CCE" w:rsidRPr="00EC51C2" w:rsidRDefault="00B57CCE" w:rsidP="00B57CCE">
      <w:pPr>
        <w:spacing w:after="0"/>
        <w:rPr>
          <w:rFonts w:ascii="Verdana" w:hAnsi="Verdana"/>
          <w:sz w:val="18"/>
          <w:szCs w:val="18"/>
        </w:rPr>
      </w:pPr>
    </w:p>
    <w:p w14:paraId="26E91460" w14:textId="3E67FEC7" w:rsidR="00B57CCE" w:rsidRPr="00EC51C2" w:rsidRDefault="003B3065" w:rsidP="00B57CCE">
      <w:pPr>
        <w:rPr>
          <w:rFonts w:ascii="Verdana" w:hAnsi="Verdana"/>
          <w:sz w:val="18"/>
          <w:szCs w:val="18"/>
        </w:rPr>
      </w:pPr>
      <w:r w:rsidRPr="003B3065">
        <w:rPr>
          <w:noProof/>
        </w:rPr>
        <w:drawing>
          <wp:inline distT="0" distB="0" distL="0" distR="0" wp14:anchorId="52568B19" wp14:editId="44DDF7FC">
            <wp:extent cx="5760720" cy="581025"/>
            <wp:effectExtent l="0" t="0" r="0"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p w14:paraId="56BF733A" w14:textId="77777777" w:rsidR="00B57CCE" w:rsidRPr="00EC51C2" w:rsidRDefault="00B57CCE" w:rsidP="00B57CCE">
      <w:pPr>
        <w:rPr>
          <w:rFonts w:ascii="Verdana" w:hAnsi="Verdana"/>
          <w:sz w:val="18"/>
          <w:szCs w:val="18"/>
        </w:rPr>
      </w:pPr>
      <w:r w:rsidRPr="00EC51C2">
        <w:rPr>
          <w:rFonts w:ascii="Verdana" w:hAnsi="Verdana"/>
          <w:b/>
          <w:sz w:val="18"/>
          <w:szCs w:val="18"/>
        </w:rPr>
        <w:t>Stap 4:</w:t>
      </w:r>
      <w:r w:rsidRPr="00EC51C2">
        <w:rPr>
          <w:rFonts w:ascii="Verdana" w:hAnsi="Verdana"/>
          <w:sz w:val="18"/>
          <w:szCs w:val="18"/>
        </w:rPr>
        <w:t xml:space="preserve"> Het model berekent op basis van de reeds ingevulde en beschikbare gegevens automatisch de correctie wegens wijzigingen in de cliëntenmix/aantal. U hoeft hier dus niets zelf in te vullen.</w:t>
      </w:r>
    </w:p>
    <w:p w14:paraId="09B4556F" w14:textId="77777777" w:rsidR="00B57CCE" w:rsidRPr="00EC51C2" w:rsidRDefault="00B57CCE" w:rsidP="00B57CCE">
      <w:pPr>
        <w:rPr>
          <w:rFonts w:ascii="Verdana" w:hAnsi="Verdana"/>
          <w:sz w:val="18"/>
          <w:szCs w:val="18"/>
        </w:rPr>
      </w:pPr>
      <w:r w:rsidRPr="00EC51C2">
        <w:rPr>
          <w:rFonts w:ascii="Verdana" w:hAnsi="Verdana"/>
          <w:sz w:val="18"/>
          <w:szCs w:val="18"/>
        </w:rPr>
        <w:t xml:space="preserve">Onderstaand treft u de ingekorte versie aan van de berekening. In het Excel-document is het hierbij aansluitende voorbeeld opgenomen voor deze fictieve instelling: </w:t>
      </w:r>
    </w:p>
    <w:p w14:paraId="663E433C" w14:textId="30E2DBEB" w:rsidR="00B57CCE" w:rsidRPr="00EC51C2" w:rsidRDefault="00B57CCE" w:rsidP="00B57CCE">
      <w:pPr>
        <w:pStyle w:val="Lijstalinea"/>
        <w:numPr>
          <w:ilvl w:val="0"/>
          <w:numId w:val="27"/>
        </w:numPr>
        <w:rPr>
          <w:rFonts w:ascii="Verdana" w:hAnsi="Verdana"/>
          <w:sz w:val="18"/>
          <w:szCs w:val="18"/>
        </w:rPr>
      </w:pPr>
      <w:r w:rsidRPr="00EC51C2">
        <w:rPr>
          <w:rFonts w:ascii="Verdana" w:hAnsi="Verdana"/>
          <w:sz w:val="18"/>
          <w:szCs w:val="18"/>
        </w:rPr>
        <w:t>Regel 4.2 en 4.3: de instelling had een omzetstijging in 202</w:t>
      </w:r>
      <w:r w:rsidR="002A44CD">
        <w:rPr>
          <w:rFonts w:ascii="Verdana" w:hAnsi="Verdana"/>
          <w:sz w:val="18"/>
          <w:szCs w:val="18"/>
        </w:rPr>
        <w:t>1</w:t>
      </w:r>
      <w:r w:rsidRPr="00EC51C2">
        <w:rPr>
          <w:rFonts w:ascii="Verdana" w:hAnsi="Verdana"/>
          <w:sz w:val="18"/>
          <w:szCs w:val="18"/>
        </w:rPr>
        <w:t xml:space="preserve"> van 1.775.877 euro (van afgerond € 87,8 miljoen naar € 89,6 miljoen). Hierbij is alleen het effect meegenomen van wijzigingen in het aantal cliënten of de cliëntenmix; voor</w:t>
      </w:r>
      <w:r w:rsidR="007B4FEF">
        <w:rPr>
          <w:rFonts w:ascii="Verdana" w:hAnsi="Verdana"/>
          <w:sz w:val="18"/>
          <w:szCs w:val="18"/>
        </w:rPr>
        <w:t xml:space="preserve"> </w:t>
      </w:r>
      <w:r w:rsidRPr="00EC51C2">
        <w:rPr>
          <w:rFonts w:ascii="Verdana" w:hAnsi="Verdana"/>
          <w:sz w:val="18"/>
          <w:szCs w:val="18"/>
        </w:rPr>
        <w:t>202</w:t>
      </w:r>
      <w:r w:rsidR="002A44CD">
        <w:rPr>
          <w:rFonts w:ascii="Verdana" w:hAnsi="Verdana"/>
          <w:sz w:val="18"/>
          <w:szCs w:val="18"/>
        </w:rPr>
        <w:t>1</w:t>
      </w:r>
      <w:r w:rsidRPr="00EC51C2">
        <w:rPr>
          <w:rFonts w:ascii="Verdana" w:hAnsi="Verdana"/>
          <w:sz w:val="18"/>
          <w:szCs w:val="18"/>
        </w:rPr>
        <w:t xml:space="preserve"> is gerekend met het NZa-tarief in prijspeil </w:t>
      </w:r>
      <w:r w:rsidR="007B4FEF">
        <w:rPr>
          <w:rFonts w:ascii="Verdana" w:hAnsi="Verdana"/>
          <w:sz w:val="18"/>
          <w:szCs w:val="18"/>
        </w:rPr>
        <w:t xml:space="preserve">2020. </w:t>
      </w:r>
    </w:p>
    <w:p w14:paraId="7DA652AC" w14:textId="77777777" w:rsidR="00B57CCE" w:rsidRPr="00EC51C2" w:rsidRDefault="00B57CCE" w:rsidP="00B57CCE">
      <w:pPr>
        <w:pStyle w:val="Lijstalinea"/>
        <w:numPr>
          <w:ilvl w:val="0"/>
          <w:numId w:val="27"/>
        </w:numPr>
        <w:rPr>
          <w:rFonts w:ascii="Verdana" w:hAnsi="Verdana"/>
          <w:sz w:val="18"/>
          <w:szCs w:val="18"/>
        </w:rPr>
      </w:pPr>
      <w:r w:rsidRPr="00EC51C2">
        <w:rPr>
          <w:rFonts w:ascii="Verdana" w:hAnsi="Verdana"/>
          <w:sz w:val="18"/>
          <w:szCs w:val="18"/>
        </w:rPr>
        <w:t>Regel 4.4: Het aandeel van de personeelskosten in de inkomsten uit het basistarief bedroeg in 2018 44,8%. Deze wordt berekend door de ‘inkomsten basistarief declarabele dagen 2018’ te delen door ‘loonkosten en inhuur 2018’.</w:t>
      </w:r>
    </w:p>
    <w:p w14:paraId="70BE96AE" w14:textId="77777777" w:rsidR="00B57CCE" w:rsidRPr="00EC51C2" w:rsidRDefault="00B57CCE" w:rsidP="00B57CCE">
      <w:pPr>
        <w:pStyle w:val="Lijstalinea"/>
        <w:numPr>
          <w:ilvl w:val="0"/>
          <w:numId w:val="27"/>
        </w:numPr>
        <w:rPr>
          <w:rFonts w:ascii="Verdana" w:hAnsi="Verdana"/>
          <w:sz w:val="18"/>
          <w:szCs w:val="18"/>
        </w:rPr>
      </w:pPr>
      <w:r w:rsidRPr="00EC51C2">
        <w:rPr>
          <w:rFonts w:ascii="Verdana" w:hAnsi="Verdana"/>
          <w:sz w:val="18"/>
          <w:szCs w:val="18"/>
        </w:rPr>
        <w:t>Regel 4.5: De begroting van het kwaliteitsbudget wordt gecorrigeerd met een bedrag van € 795.063. Dit is het bedrag dat de fictieve instelling vanuit de hogere inkomsten uit het basistarief reeds zelf kan inzetten voor extra personeel. Dit bedrag wordt meegenomen bij de totaalafrekening in tabel R5.</w:t>
      </w:r>
    </w:p>
    <w:p w14:paraId="5AA77756" w14:textId="5FDC5898" w:rsidR="00B57CCE" w:rsidRPr="00EC51C2" w:rsidRDefault="00062ACF" w:rsidP="00B57CCE">
      <w:pPr>
        <w:rPr>
          <w:rFonts w:ascii="Verdana" w:hAnsi="Verdana"/>
          <w:sz w:val="18"/>
          <w:szCs w:val="18"/>
        </w:rPr>
      </w:pPr>
      <w:r w:rsidRPr="00062ACF">
        <w:rPr>
          <w:noProof/>
        </w:rPr>
        <w:drawing>
          <wp:inline distT="0" distB="0" distL="0" distR="0" wp14:anchorId="54C11420" wp14:editId="24B83552">
            <wp:extent cx="5760720" cy="1492885"/>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492885"/>
                    </a:xfrm>
                    <a:prstGeom prst="rect">
                      <a:avLst/>
                    </a:prstGeom>
                    <a:noFill/>
                    <a:ln>
                      <a:noFill/>
                    </a:ln>
                  </pic:spPr>
                </pic:pic>
              </a:graphicData>
            </a:graphic>
          </wp:inline>
        </w:drawing>
      </w:r>
    </w:p>
    <w:p w14:paraId="659A0E42" w14:textId="77777777" w:rsidR="00B57CCE" w:rsidRPr="00EC51C2" w:rsidRDefault="00B57CCE" w:rsidP="00B57CCE">
      <w:pPr>
        <w:rPr>
          <w:rFonts w:ascii="Verdana" w:hAnsi="Verdana"/>
          <w:sz w:val="18"/>
          <w:szCs w:val="18"/>
        </w:rPr>
      </w:pPr>
      <w:r w:rsidRPr="00EC51C2">
        <w:rPr>
          <w:rFonts w:ascii="Verdana" w:hAnsi="Verdana"/>
          <w:sz w:val="18"/>
          <w:szCs w:val="18"/>
        </w:rPr>
        <w:br w:type="page"/>
      </w:r>
    </w:p>
    <w:p w14:paraId="6221E905" w14:textId="77777777" w:rsidR="00B57CCE" w:rsidRPr="00EC51C2" w:rsidRDefault="00B57CCE" w:rsidP="00B57CCE">
      <w:pPr>
        <w:rPr>
          <w:rFonts w:ascii="Verdana" w:hAnsi="Verdana"/>
          <w:sz w:val="18"/>
          <w:szCs w:val="18"/>
        </w:rPr>
      </w:pPr>
      <w:r w:rsidRPr="00EC51C2">
        <w:rPr>
          <w:rFonts w:ascii="Verdana" w:hAnsi="Verdana"/>
          <w:b/>
          <w:sz w:val="18"/>
          <w:szCs w:val="18"/>
        </w:rPr>
        <w:lastRenderedPageBreak/>
        <w:t>Stap 5:</w:t>
      </w:r>
      <w:r w:rsidRPr="00EC51C2">
        <w:rPr>
          <w:rFonts w:ascii="Verdana" w:hAnsi="Verdana"/>
          <w:sz w:val="18"/>
          <w:szCs w:val="18"/>
        </w:rPr>
        <w:t xml:space="preserve"> Tabel 5 berekent op basis van de realisatiegegevens welk bedrag dient te worden verrekend met de bevoorschotting. </w:t>
      </w:r>
    </w:p>
    <w:p w14:paraId="49F54600" w14:textId="77777777" w:rsidR="00B57CCE" w:rsidRPr="00EC51C2" w:rsidRDefault="00B57CCE" w:rsidP="00B57CCE">
      <w:pPr>
        <w:rPr>
          <w:rFonts w:ascii="Verdana" w:hAnsi="Verdana"/>
          <w:sz w:val="18"/>
          <w:szCs w:val="18"/>
        </w:rPr>
      </w:pPr>
      <w:r w:rsidRPr="00EC51C2">
        <w:rPr>
          <w:rFonts w:ascii="Verdana" w:hAnsi="Verdana"/>
          <w:sz w:val="18"/>
          <w:szCs w:val="18"/>
        </w:rPr>
        <w:t>De tabel wordt gedeeltelijk gevuld op basis van gegevens uit de stappen 1 t/m 4 uit het voorbeeld zoals hiervoor beschreven. Het bedrag voor de compensatiecomponent (1</w:t>
      </w:r>
      <w:r w:rsidRPr="00EC51C2">
        <w:rPr>
          <w:rFonts w:ascii="Verdana" w:hAnsi="Verdana"/>
          <w:sz w:val="18"/>
          <w:szCs w:val="18"/>
          <w:vertAlign w:val="superscript"/>
        </w:rPr>
        <w:t>e</w:t>
      </w:r>
      <w:r w:rsidRPr="00EC51C2">
        <w:rPr>
          <w:rFonts w:ascii="Verdana" w:hAnsi="Verdana"/>
          <w:sz w:val="18"/>
          <w:szCs w:val="18"/>
        </w:rPr>
        <w:t xml:space="preserve"> regel) wordt automatisch overgenomen uit het tabblad ‘INPUT BEGROTING’. </w:t>
      </w:r>
    </w:p>
    <w:p w14:paraId="618B3807" w14:textId="77777777" w:rsidR="00B57CCE" w:rsidRPr="00EC51C2" w:rsidRDefault="00B57CCE" w:rsidP="00B57CCE">
      <w:pPr>
        <w:spacing w:after="0"/>
        <w:rPr>
          <w:rFonts w:ascii="Verdana" w:hAnsi="Verdana"/>
          <w:i/>
          <w:sz w:val="18"/>
          <w:szCs w:val="18"/>
        </w:rPr>
      </w:pPr>
      <w:r w:rsidRPr="00EC51C2">
        <w:rPr>
          <w:rFonts w:ascii="Verdana" w:hAnsi="Verdana"/>
          <w:i/>
          <w:sz w:val="18"/>
          <w:szCs w:val="18"/>
        </w:rPr>
        <w:t>Nog in te vullen bij stap 5:</w:t>
      </w:r>
    </w:p>
    <w:p w14:paraId="34F15011" w14:textId="0A1B859D" w:rsidR="00B57CCE" w:rsidRPr="00EC51C2" w:rsidRDefault="00B57CCE" w:rsidP="00B57CCE">
      <w:pPr>
        <w:pStyle w:val="Lijstalinea"/>
        <w:numPr>
          <w:ilvl w:val="0"/>
          <w:numId w:val="29"/>
        </w:numPr>
        <w:spacing w:after="0"/>
        <w:ind w:left="567" w:hanging="567"/>
        <w:rPr>
          <w:rFonts w:ascii="Verdana" w:hAnsi="Verdana"/>
          <w:sz w:val="18"/>
          <w:szCs w:val="18"/>
        </w:rPr>
      </w:pPr>
      <w:r w:rsidRPr="00EC51C2">
        <w:rPr>
          <w:rFonts w:ascii="Verdana" w:hAnsi="Verdana"/>
          <w:sz w:val="18"/>
          <w:szCs w:val="18"/>
        </w:rPr>
        <w:t>Het bedrag aan andere investeringen in het kwaliteitskader. Dit bedrag is maximaal gelijk aan het bedrag dat is afgesproken tussen het zorgkantoor en de zorgaanbieder bij de aanvraag van het kwaliteitsbudget 202</w:t>
      </w:r>
      <w:r w:rsidR="002A44CD">
        <w:rPr>
          <w:rFonts w:ascii="Verdana" w:hAnsi="Verdana"/>
          <w:sz w:val="18"/>
          <w:szCs w:val="18"/>
        </w:rPr>
        <w:t>1</w:t>
      </w:r>
      <w:r w:rsidRPr="00EC51C2">
        <w:rPr>
          <w:rFonts w:ascii="Verdana" w:hAnsi="Verdana"/>
          <w:sz w:val="18"/>
          <w:szCs w:val="18"/>
        </w:rPr>
        <w:t>. In het voorbeeld gaat het om een bedrag van € 1.350.000.</w:t>
      </w:r>
    </w:p>
    <w:p w14:paraId="289968C1" w14:textId="5CE19733" w:rsidR="00B57CCE" w:rsidRPr="00EC51C2" w:rsidRDefault="00B57CCE" w:rsidP="00B57CCE">
      <w:pPr>
        <w:pStyle w:val="Lijstalinea"/>
        <w:numPr>
          <w:ilvl w:val="0"/>
          <w:numId w:val="29"/>
        </w:numPr>
        <w:spacing w:after="0"/>
        <w:ind w:left="567" w:hanging="567"/>
        <w:rPr>
          <w:rFonts w:ascii="Verdana" w:hAnsi="Verdana"/>
          <w:sz w:val="18"/>
          <w:szCs w:val="18"/>
        </w:rPr>
      </w:pPr>
      <w:r w:rsidRPr="00EC51C2">
        <w:rPr>
          <w:rFonts w:ascii="Verdana" w:hAnsi="Verdana"/>
          <w:sz w:val="18"/>
          <w:szCs w:val="18"/>
        </w:rPr>
        <w:t>Indien van toepassing: het bedrag voor de gemotiveerde aanpassing (moet voorzien zijn van actuele onderbouwing). Dit bedrag is maximaal gelijk aan het bedrag dat is afgesproken tussen het zorgkantoor en de zorgaanbieder bij de aanvraag van het kwaliteitsbudget 202</w:t>
      </w:r>
      <w:r w:rsidR="002A44CD">
        <w:rPr>
          <w:rFonts w:ascii="Verdana" w:hAnsi="Verdana"/>
          <w:sz w:val="18"/>
          <w:szCs w:val="18"/>
        </w:rPr>
        <w:t>1</w:t>
      </w:r>
      <w:r w:rsidRPr="00EC51C2">
        <w:rPr>
          <w:rFonts w:ascii="Verdana" w:hAnsi="Verdana"/>
          <w:sz w:val="18"/>
          <w:szCs w:val="18"/>
        </w:rPr>
        <w:t>. In het voorbeeld gaat om een aanpassing van nihil.</w:t>
      </w:r>
    </w:p>
    <w:p w14:paraId="20548005" w14:textId="55725E16" w:rsidR="00B57CCE" w:rsidRPr="00EC51C2" w:rsidRDefault="00B57CCE" w:rsidP="00B57CCE">
      <w:pPr>
        <w:pStyle w:val="Lijstalinea"/>
        <w:numPr>
          <w:ilvl w:val="0"/>
          <w:numId w:val="31"/>
        </w:numPr>
        <w:spacing w:after="0"/>
        <w:ind w:left="567" w:hanging="567"/>
        <w:rPr>
          <w:rFonts w:ascii="Verdana" w:hAnsi="Verdana"/>
          <w:sz w:val="18"/>
          <w:szCs w:val="18"/>
        </w:rPr>
      </w:pPr>
      <w:r w:rsidRPr="00EC51C2">
        <w:rPr>
          <w:rFonts w:ascii="Verdana" w:hAnsi="Verdana"/>
          <w:sz w:val="18"/>
          <w:szCs w:val="18"/>
        </w:rPr>
        <w:t xml:space="preserve">Het </w:t>
      </w:r>
      <w:proofErr w:type="spellStart"/>
      <w:r w:rsidRPr="00EC51C2">
        <w:rPr>
          <w:rFonts w:ascii="Verdana" w:hAnsi="Verdana"/>
          <w:sz w:val="18"/>
          <w:szCs w:val="18"/>
        </w:rPr>
        <w:t>bevoorschotte</w:t>
      </w:r>
      <w:proofErr w:type="spellEnd"/>
      <w:r w:rsidRPr="00EC51C2">
        <w:rPr>
          <w:rFonts w:ascii="Verdana" w:hAnsi="Verdana"/>
          <w:sz w:val="18"/>
          <w:szCs w:val="18"/>
        </w:rPr>
        <w:t xml:space="preserve"> bedrag voor het kwaliteitsbudget 202</w:t>
      </w:r>
      <w:r w:rsidR="002A44CD">
        <w:rPr>
          <w:rFonts w:ascii="Verdana" w:hAnsi="Verdana"/>
          <w:sz w:val="18"/>
          <w:szCs w:val="18"/>
        </w:rPr>
        <w:t>1</w:t>
      </w:r>
      <w:r w:rsidRPr="00EC51C2">
        <w:rPr>
          <w:rFonts w:ascii="Verdana" w:hAnsi="Verdana"/>
          <w:sz w:val="18"/>
          <w:szCs w:val="18"/>
        </w:rPr>
        <w:t xml:space="preserve">. In het voorbeeld is dit een bedrag van € 8.800.000. </w:t>
      </w:r>
    </w:p>
    <w:p w14:paraId="64BFF35D" w14:textId="77777777" w:rsidR="00B57CCE" w:rsidRPr="00EC51C2" w:rsidRDefault="00B57CCE" w:rsidP="00B57CCE">
      <w:pPr>
        <w:spacing w:after="0"/>
        <w:rPr>
          <w:rFonts w:ascii="Verdana" w:hAnsi="Verdana"/>
          <w:sz w:val="18"/>
          <w:szCs w:val="18"/>
        </w:rPr>
      </w:pPr>
    </w:p>
    <w:p w14:paraId="32E835CA" w14:textId="2B7B902A" w:rsidR="00B57CCE" w:rsidRDefault="00B57CCE" w:rsidP="00B57CCE">
      <w:pPr>
        <w:spacing w:after="0"/>
        <w:rPr>
          <w:rFonts w:ascii="Verdana" w:hAnsi="Verdana"/>
          <w:sz w:val="18"/>
          <w:szCs w:val="18"/>
        </w:rPr>
      </w:pPr>
      <w:r w:rsidRPr="00EC51C2">
        <w:rPr>
          <w:rFonts w:ascii="Verdana" w:hAnsi="Verdana"/>
          <w:sz w:val="18"/>
          <w:szCs w:val="18"/>
        </w:rPr>
        <w:t xml:space="preserve">Regel 5.3 berekent dat de zorgaanbieder in totaal </w:t>
      </w:r>
      <w:r w:rsidR="00D017BD" w:rsidRPr="00EC51C2">
        <w:rPr>
          <w:rFonts w:ascii="Verdana" w:hAnsi="Verdana"/>
          <w:sz w:val="18"/>
          <w:szCs w:val="18"/>
        </w:rPr>
        <w:t>ten laste van</w:t>
      </w:r>
      <w:r w:rsidRPr="00EC51C2">
        <w:rPr>
          <w:rFonts w:ascii="Verdana" w:hAnsi="Verdana"/>
          <w:sz w:val="18"/>
          <w:szCs w:val="18"/>
        </w:rPr>
        <w:t xml:space="preserve"> het kwaliteitsbudget 202</w:t>
      </w:r>
      <w:r w:rsidR="002A44CD">
        <w:rPr>
          <w:rFonts w:ascii="Verdana" w:hAnsi="Verdana"/>
          <w:sz w:val="18"/>
          <w:szCs w:val="18"/>
        </w:rPr>
        <w:t>1</w:t>
      </w:r>
      <w:r w:rsidRPr="00EC51C2">
        <w:rPr>
          <w:rFonts w:ascii="Verdana" w:hAnsi="Verdana"/>
          <w:sz w:val="18"/>
          <w:szCs w:val="18"/>
        </w:rPr>
        <w:t xml:space="preserve"> een bedrag heeft gerealiseerd van </w:t>
      </w:r>
      <w:r w:rsidR="00D017BD">
        <w:rPr>
          <w:rFonts w:ascii="Verdana" w:hAnsi="Verdana"/>
          <w:sz w:val="18"/>
          <w:szCs w:val="18"/>
        </w:rPr>
        <w:t xml:space="preserve">€ </w:t>
      </w:r>
      <w:r w:rsidRPr="00EC51C2">
        <w:rPr>
          <w:rFonts w:ascii="Verdana" w:hAnsi="Verdana"/>
          <w:sz w:val="18"/>
          <w:szCs w:val="18"/>
        </w:rPr>
        <w:t xml:space="preserve">8.550.620. Ten opzichte van het </w:t>
      </w:r>
      <w:proofErr w:type="spellStart"/>
      <w:r w:rsidRPr="00EC51C2">
        <w:rPr>
          <w:rFonts w:ascii="Verdana" w:hAnsi="Verdana"/>
          <w:sz w:val="18"/>
          <w:szCs w:val="18"/>
        </w:rPr>
        <w:t>bevoorschotte</w:t>
      </w:r>
      <w:proofErr w:type="spellEnd"/>
      <w:r w:rsidRPr="00EC51C2">
        <w:rPr>
          <w:rFonts w:ascii="Verdana" w:hAnsi="Verdana"/>
          <w:sz w:val="18"/>
          <w:szCs w:val="18"/>
        </w:rPr>
        <w:t xml:space="preserve"> bedrag van € 8.800.000 op regel 5.4 moet de zorgaanbieder in dit voorbeeld</w:t>
      </w:r>
      <w:r w:rsidRPr="00EC51C2">
        <w:rPr>
          <w:rFonts w:ascii="Verdana" w:hAnsi="Verdana"/>
          <w:sz w:val="18"/>
        </w:rPr>
        <w:t xml:space="preserve"> dus nog € 249.380 terugbetale</w:t>
      </w:r>
      <w:r w:rsidRPr="00EC51C2">
        <w:rPr>
          <w:rFonts w:ascii="Verdana" w:hAnsi="Verdana"/>
          <w:sz w:val="18"/>
          <w:szCs w:val="18"/>
        </w:rPr>
        <w:t>n (regel 5.5).</w:t>
      </w:r>
    </w:p>
    <w:p w14:paraId="11645BA8" w14:textId="77777777" w:rsidR="00B57CCE" w:rsidRDefault="00B57CCE" w:rsidP="00B57CCE">
      <w:pPr>
        <w:spacing w:after="0"/>
        <w:rPr>
          <w:rFonts w:ascii="Verdana" w:hAnsi="Verdana"/>
          <w:sz w:val="18"/>
          <w:szCs w:val="18"/>
        </w:rPr>
      </w:pPr>
    </w:p>
    <w:p w14:paraId="521CE444" w14:textId="77777777" w:rsidR="00B57CCE" w:rsidRDefault="00B57CCE" w:rsidP="00B57CCE">
      <w:pPr>
        <w:spacing w:after="0"/>
        <w:rPr>
          <w:rFonts w:ascii="Verdana" w:hAnsi="Verdana"/>
          <w:sz w:val="18"/>
          <w:szCs w:val="18"/>
        </w:rPr>
      </w:pPr>
    </w:p>
    <w:p w14:paraId="396DF34C" w14:textId="77777777" w:rsidR="00B57CCE" w:rsidRDefault="00B57CCE" w:rsidP="00B57CCE">
      <w:pPr>
        <w:spacing w:after="0"/>
        <w:rPr>
          <w:rFonts w:ascii="Verdana" w:hAnsi="Verdana"/>
          <w:sz w:val="18"/>
          <w:szCs w:val="18"/>
        </w:rPr>
      </w:pPr>
    </w:p>
    <w:p w14:paraId="4A1B8858" w14:textId="77777777" w:rsidR="00B57CCE" w:rsidRDefault="00B57CCE" w:rsidP="00B57CCE">
      <w:pPr>
        <w:spacing w:after="0"/>
        <w:rPr>
          <w:rFonts w:ascii="Verdana" w:hAnsi="Verdana"/>
          <w:sz w:val="18"/>
          <w:szCs w:val="18"/>
        </w:rPr>
      </w:pPr>
    </w:p>
    <w:p w14:paraId="1D4A7ABA" w14:textId="77777777" w:rsidR="00B57CCE" w:rsidRDefault="00B57CCE" w:rsidP="00B57CCE">
      <w:pPr>
        <w:spacing w:after="0"/>
        <w:rPr>
          <w:rFonts w:ascii="Verdana" w:hAnsi="Verdana"/>
          <w:sz w:val="18"/>
          <w:szCs w:val="18"/>
        </w:rPr>
      </w:pPr>
    </w:p>
    <w:p w14:paraId="4D52F47B" w14:textId="77777777" w:rsidR="00B57CCE" w:rsidRDefault="00B57CCE" w:rsidP="00B57CCE">
      <w:pPr>
        <w:spacing w:after="0"/>
        <w:rPr>
          <w:rFonts w:ascii="Verdana" w:hAnsi="Verdana"/>
          <w:sz w:val="18"/>
          <w:szCs w:val="18"/>
        </w:rPr>
      </w:pPr>
    </w:p>
    <w:p w14:paraId="0279F465" w14:textId="77777777" w:rsidR="00B57CCE" w:rsidRDefault="00B57CCE" w:rsidP="00B57CCE">
      <w:pPr>
        <w:spacing w:after="0"/>
        <w:rPr>
          <w:rFonts w:ascii="Verdana" w:hAnsi="Verdana"/>
          <w:sz w:val="18"/>
          <w:szCs w:val="18"/>
        </w:rPr>
      </w:pPr>
    </w:p>
    <w:p w14:paraId="1BA174C6" w14:textId="77777777" w:rsidR="00B57CCE" w:rsidRDefault="00B57CCE" w:rsidP="00B57CCE">
      <w:pPr>
        <w:spacing w:after="0"/>
        <w:rPr>
          <w:rFonts w:ascii="Verdana" w:hAnsi="Verdana"/>
          <w:sz w:val="18"/>
          <w:szCs w:val="18"/>
        </w:rPr>
      </w:pPr>
    </w:p>
    <w:p w14:paraId="1C099E9C" w14:textId="77777777" w:rsidR="00B57CCE" w:rsidRDefault="00B57CCE" w:rsidP="00B57CCE">
      <w:pPr>
        <w:spacing w:after="0"/>
        <w:rPr>
          <w:rFonts w:ascii="Verdana" w:hAnsi="Verdana"/>
          <w:sz w:val="18"/>
          <w:szCs w:val="18"/>
        </w:rPr>
      </w:pPr>
    </w:p>
    <w:p w14:paraId="38168683" w14:textId="77777777" w:rsidR="00B57CCE" w:rsidRDefault="00B57CCE" w:rsidP="00B57CCE">
      <w:pPr>
        <w:spacing w:after="0"/>
        <w:rPr>
          <w:rFonts w:ascii="Verdana" w:hAnsi="Verdana"/>
          <w:sz w:val="18"/>
          <w:szCs w:val="18"/>
        </w:rPr>
      </w:pPr>
    </w:p>
    <w:p w14:paraId="53332023" w14:textId="77777777" w:rsidR="00B57CCE" w:rsidRDefault="00B57CCE" w:rsidP="00B57CCE">
      <w:pPr>
        <w:spacing w:after="0"/>
        <w:rPr>
          <w:rFonts w:ascii="Verdana" w:hAnsi="Verdana"/>
          <w:sz w:val="18"/>
          <w:szCs w:val="18"/>
        </w:rPr>
      </w:pPr>
    </w:p>
    <w:p w14:paraId="6B64C2AB" w14:textId="77777777" w:rsidR="00B57CCE" w:rsidRDefault="00B57CCE" w:rsidP="00B57CCE">
      <w:pPr>
        <w:spacing w:after="0"/>
        <w:rPr>
          <w:rFonts w:ascii="Verdana" w:hAnsi="Verdana"/>
          <w:sz w:val="18"/>
          <w:szCs w:val="18"/>
        </w:rPr>
      </w:pPr>
    </w:p>
    <w:p w14:paraId="138CFFCD" w14:textId="77777777" w:rsidR="00B57CCE" w:rsidRDefault="00B57CCE" w:rsidP="00B57CCE">
      <w:pPr>
        <w:spacing w:after="0"/>
        <w:rPr>
          <w:rFonts w:ascii="Verdana" w:hAnsi="Verdana"/>
          <w:sz w:val="18"/>
          <w:szCs w:val="18"/>
        </w:rPr>
      </w:pPr>
    </w:p>
    <w:p w14:paraId="233E21AF" w14:textId="77777777" w:rsidR="00B57CCE" w:rsidRDefault="00B57CCE" w:rsidP="00B57CCE">
      <w:pPr>
        <w:spacing w:after="0"/>
        <w:rPr>
          <w:rFonts w:ascii="Verdana" w:hAnsi="Verdana"/>
          <w:sz w:val="18"/>
          <w:szCs w:val="18"/>
        </w:rPr>
      </w:pPr>
    </w:p>
    <w:p w14:paraId="219EF19F" w14:textId="77777777" w:rsidR="00B57CCE" w:rsidRDefault="00B57CCE" w:rsidP="00B57CCE">
      <w:pPr>
        <w:spacing w:after="0"/>
        <w:rPr>
          <w:rFonts w:ascii="Verdana" w:hAnsi="Verdana"/>
          <w:sz w:val="18"/>
          <w:szCs w:val="18"/>
        </w:rPr>
      </w:pPr>
    </w:p>
    <w:p w14:paraId="69A81955" w14:textId="77777777" w:rsidR="00B57CCE" w:rsidRDefault="00B57CCE" w:rsidP="00B57CCE">
      <w:pPr>
        <w:spacing w:after="0"/>
        <w:rPr>
          <w:rFonts w:ascii="Verdana" w:hAnsi="Verdana"/>
          <w:sz w:val="18"/>
          <w:szCs w:val="18"/>
        </w:rPr>
      </w:pPr>
    </w:p>
    <w:p w14:paraId="70E0B109" w14:textId="77777777" w:rsidR="00B57CCE" w:rsidRDefault="00B57CCE" w:rsidP="00B57CCE">
      <w:pPr>
        <w:spacing w:after="0"/>
        <w:rPr>
          <w:rFonts w:ascii="Verdana" w:hAnsi="Verdana"/>
          <w:sz w:val="18"/>
          <w:szCs w:val="18"/>
        </w:rPr>
      </w:pPr>
    </w:p>
    <w:p w14:paraId="76F49A55" w14:textId="77777777" w:rsidR="00B57CCE" w:rsidRDefault="00B57CCE" w:rsidP="00B57CCE">
      <w:pPr>
        <w:spacing w:after="0"/>
        <w:rPr>
          <w:rFonts w:ascii="Verdana" w:hAnsi="Verdana"/>
          <w:sz w:val="18"/>
          <w:szCs w:val="18"/>
        </w:rPr>
      </w:pPr>
    </w:p>
    <w:p w14:paraId="20D196A8" w14:textId="77777777" w:rsidR="00B57CCE" w:rsidRDefault="00B57CCE" w:rsidP="00B57CCE">
      <w:pPr>
        <w:spacing w:after="0"/>
        <w:rPr>
          <w:rFonts w:ascii="Verdana" w:hAnsi="Verdana"/>
          <w:sz w:val="18"/>
          <w:szCs w:val="18"/>
        </w:rPr>
      </w:pPr>
    </w:p>
    <w:p w14:paraId="238D748A" w14:textId="77777777" w:rsidR="00B57CCE" w:rsidRDefault="00B57CCE" w:rsidP="00B57CCE">
      <w:pPr>
        <w:spacing w:after="0"/>
        <w:rPr>
          <w:rFonts w:ascii="Verdana" w:hAnsi="Verdana"/>
          <w:sz w:val="18"/>
          <w:szCs w:val="18"/>
        </w:rPr>
      </w:pPr>
    </w:p>
    <w:p w14:paraId="04BC8CE1" w14:textId="77777777" w:rsidR="00B57CCE" w:rsidRDefault="00B57CCE" w:rsidP="00B57CCE">
      <w:pPr>
        <w:spacing w:after="0"/>
        <w:rPr>
          <w:rFonts w:ascii="Verdana" w:hAnsi="Verdana"/>
          <w:sz w:val="18"/>
          <w:szCs w:val="18"/>
        </w:rPr>
      </w:pPr>
    </w:p>
    <w:p w14:paraId="507556CC" w14:textId="77777777" w:rsidR="00B57CCE" w:rsidRDefault="00B57CCE" w:rsidP="00B57CCE">
      <w:pPr>
        <w:spacing w:after="0"/>
        <w:rPr>
          <w:rFonts w:ascii="Verdana" w:hAnsi="Verdana"/>
          <w:sz w:val="18"/>
          <w:szCs w:val="18"/>
        </w:rPr>
      </w:pPr>
    </w:p>
    <w:p w14:paraId="408FBFC1" w14:textId="77777777" w:rsidR="00B57CCE" w:rsidRDefault="00B57CCE" w:rsidP="00B57CCE">
      <w:pPr>
        <w:spacing w:after="0"/>
        <w:rPr>
          <w:rFonts w:ascii="Verdana" w:hAnsi="Verdana"/>
          <w:sz w:val="18"/>
          <w:szCs w:val="18"/>
        </w:rPr>
      </w:pPr>
    </w:p>
    <w:p w14:paraId="65BC1B50" w14:textId="77777777" w:rsidR="00B57CCE" w:rsidRDefault="00B57CCE" w:rsidP="00B57CCE">
      <w:pPr>
        <w:spacing w:after="0"/>
        <w:rPr>
          <w:rFonts w:ascii="Verdana" w:hAnsi="Verdana"/>
          <w:sz w:val="18"/>
          <w:szCs w:val="18"/>
        </w:rPr>
      </w:pPr>
    </w:p>
    <w:p w14:paraId="7C70C1D9" w14:textId="77777777" w:rsidR="00B57CCE" w:rsidRDefault="00B57CCE" w:rsidP="00B57CCE">
      <w:pPr>
        <w:spacing w:after="0"/>
        <w:rPr>
          <w:rFonts w:ascii="Verdana" w:hAnsi="Verdana"/>
          <w:sz w:val="18"/>
          <w:szCs w:val="18"/>
        </w:rPr>
      </w:pPr>
    </w:p>
    <w:p w14:paraId="0CC9905B" w14:textId="77777777" w:rsidR="00B57CCE" w:rsidRDefault="00B57CCE" w:rsidP="00B57CCE">
      <w:pPr>
        <w:spacing w:after="0"/>
        <w:rPr>
          <w:rFonts w:ascii="Verdana" w:hAnsi="Verdana"/>
          <w:sz w:val="18"/>
          <w:szCs w:val="18"/>
        </w:rPr>
      </w:pPr>
    </w:p>
    <w:p w14:paraId="2BB3A38A" w14:textId="77777777" w:rsidR="00B57CCE" w:rsidRDefault="00B57CCE" w:rsidP="00B57CCE">
      <w:pPr>
        <w:spacing w:after="0"/>
        <w:rPr>
          <w:rFonts w:ascii="Verdana" w:hAnsi="Verdana"/>
          <w:sz w:val="18"/>
          <w:szCs w:val="18"/>
        </w:rPr>
      </w:pPr>
    </w:p>
    <w:p w14:paraId="2595AC9E" w14:textId="77777777" w:rsidR="00B57CCE" w:rsidRDefault="00B57CCE" w:rsidP="00B57CCE">
      <w:pPr>
        <w:spacing w:after="0"/>
        <w:rPr>
          <w:rFonts w:ascii="Verdana" w:hAnsi="Verdana"/>
          <w:sz w:val="18"/>
          <w:szCs w:val="18"/>
        </w:rPr>
      </w:pPr>
    </w:p>
    <w:p w14:paraId="7A0BE7CF" w14:textId="77777777" w:rsidR="00B57CCE" w:rsidRDefault="00B57CCE" w:rsidP="00B57CCE">
      <w:pPr>
        <w:spacing w:after="0"/>
        <w:rPr>
          <w:rFonts w:ascii="Verdana" w:hAnsi="Verdana"/>
          <w:sz w:val="18"/>
          <w:szCs w:val="18"/>
        </w:rPr>
      </w:pPr>
    </w:p>
    <w:p w14:paraId="35C8FC2B" w14:textId="77777777" w:rsidR="00B57CCE" w:rsidRDefault="00B57CCE" w:rsidP="00B57CCE">
      <w:pPr>
        <w:spacing w:after="0"/>
        <w:rPr>
          <w:rFonts w:ascii="Verdana" w:hAnsi="Verdana"/>
          <w:sz w:val="18"/>
          <w:szCs w:val="18"/>
        </w:rPr>
      </w:pPr>
    </w:p>
    <w:p w14:paraId="7A7EBCC8" w14:textId="77777777" w:rsidR="00B57CCE" w:rsidRDefault="00B57CCE" w:rsidP="00B57CCE">
      <w:pPr>
        <w:spacing w:after="0"/>
        <w:rPr>
          <w:rFonts w:ascii="Verdana" w:hAnsi="Verdana"/>
          <w:sz w:val="18"/>
          <w:szCs w:val="18"/>
        </w:rPr>
      </w:pPr>
    </w:p>
    <w:p w14:paraId="6B1D4994" w14:textId="77777777" w:rsidR="00B57CCE" w:rsidRDefault="00B57CCE" w:rsidP="00B57CCE">
      <w:pPr>
        <w:spacing w:after="0"/>
        <w:rPr>
          <w:rFonts w:ascii="Verdana" w:hAnsi="Verdana"/>
          <w:sz w:val="18"/>
          <w:szCs w:val="18"/>
        </w:rPr>
      </w:pPr>
    </w:p>
    <w:p w14:paraId="5D9C9598" w14:textId="77777777" w:rsidR="00B57CCE" w:rsidRDefault="00B57CCE" w:rsidP="00B57CCE">
      <w:pPr>
        <w:spacing w:after="0"/>
        <w:rPr>
          <w:rFonts w:ascii="Verdana" w:hAnsi="Verdana"/>
          <w:sz w:val="18"/>
          <w:szCs w:val="18"/>
        </w:rPr>
      </w:pPr>
    </w:p>
    <w:p w14:paraId="5B23D889" w14:textId="0906FD0B" w:rsidR="00796F40" w:rsidRDefault="00B57CCE" w:rsidP="00B57CCE">
      <w:pPr>
        <w:rPr>
          <w:rFonts w:ascii="Verdana" w:hAnsi="Verdana"/>
          <w:b/>
          <w:sz w:val="18"/>
          <w:szCs w:val="18"/>
        </w:rPr>
      </w:pPr>
      <w:r w:rsidRPr="00EC51C2">
        <w:rPr>
          <w:rFonts w:ascii="Verdana" w:hAnsi="Verdana"/>
          <w:b/>
          <w:sz w:val="18"/>
          <w:szCs w:val="18"/>
        </w:rPr>
        <w:t xml:space="preserve">Deel </w:t>
      </w:r>
      <w:r w:rsidR="00D017BD" w:rsidRPr="00EC51C2">
        <w:rPr>
          <w:rFonts w:ascii="Verdana" w:hAnsi="Verdana"/>
          <w:b/>
          <w:sz w:val="18"/>
          <w:szCs w:val="18"/>
        </w:rPr>
        <w:t>II</w:t>
      </w:r>
      <w:r w:rsidR="00D017BD">
        <w:rPr>
          <w:rFonts w:ascii="Verdana" w:hAnsi="Verdana"/>
          <w:b/>
          <w:sz w:val="18"/>
          <w:szCs w:val="18"/>
        </w:rPr>
        <w:t>I</w:t>
      </w:r>
      <w:r w:rsidR="00D017BD" w:rsidRPr="00EC51C2">
        <w:rPr>
          <w:rFonts w:ascii="Verdana" w:hAnsi="Verdana"/>
          <w:b/>
          <w:sz w:val="18"/>
          <w:szCs w:val="18"/>
        </w:rPr>
        <w:t>:</w:t>
      </w:r>
      <w:r w:rsidRPr="00EC51C2">
        <w:rPr>
          <w:rFonts w:ascii="Verdana" w:hAnsi="Verdana"/>
          <w:b/>
          <w:sz w:val="18"/>
          <w:szCs w:val="18"/>
        </w:rPr>
        <w:t xml:space="preserve"> </w:t>
      </w:r>
      <w:r>
        <w:rPr>
          <w:rFonts w:ascii="Verdana" w:hAnsi="Verdana"/>
          <w:b/>
          <w:sz w:val="18"/>
          <w:szCs w:val="18"/>
        </w:rPr>
        <w:t xml:space="preserve">Gemotiveerd afwijken op personeel </w:t>
      </w:r>
    </w:p>
    <w:p w14:paraId="0936E454" w14:textId="77777777" w:rsidR="00B57CCE" w:rsidRPr="00796F40" w:rsidRDefault="00796F40" w:rsidP="00B57CCE">
      <w:pPr>
        <w:rPr>
          <w:rFonts w:ascii="Verdana" w:hAnsi="Verdana"/>
          <w:sz w:val="18"/>
          <w:szCs w:val="18"/>
        </w:rPr>
      </w:pPr>
      <w:r w:rsidRPr="00796F40">
        <w:rPr>
          <w:rFonts w:ascii="Verdana" w:hAnsi="Verdana"/>
          <w:sz w:val="18"/>
          <w:szCs w:val="18"/>
        </w:rPr>
        <w:t>Het ta</w:t>
      </w:r>
      <w:r>
        <w:rPr>
          <w:rFonts w:ascii="Verdana" w:hAnsi="Verdana"/>
          <w:sz w:val="18"/>
          <w:szCs w:val="18"/>
        </w:rPr>
        <w:t>b</w:t>
      </w:r>
      <w:r w:rsidRPr="00796F40">
        <w:rPr>
          <w:rFonts w:ascii="Verdana" w:hAnsi="Verdana"/>
          <w:sz w:val="18"/>
          <w:szCs w:val="18"/>
        </w:rPr>
        <w:t xml:space="preserve">blad voor </w:t>
      </w:r>
      <w:r>
        <w:rPr>
          <w:rFonts w:ascii="Verdana" w:hAnsi="Verdana"/>
          <w:sz w:val="18"/>
          <w:szCs w:val="18"/>
        </w:rPr>
        <w:t xml:space="preserve">gemotiveerd afwijken </w:t>
      </w:r>
      <w:r w:rsidR="00AD09CA">
        <w:rPr>
          <w:rFonts w:ascii="Verdana" w:hAnsi="Verdana"/>
          <w:sz w:val="18"/>
          <w:szCs w:val="18"/>
        </w:rPr>
        <w:t xml:space="preserve">behoeft </w:t>
      </w:r>
      <w:r>
        <w:rPr>
          <w:rFonts w:ascii="Verdana" w:hAnsi="Verdana"/>
          <w:sz w:val="18"/>
          <w:szCs w:val="18"/>
        </w:rPr>
        <w:t xml:space="preserve">alleen ingevuld te worden als u een aanvraag doet voor gemotiveerd afwijken. </w:t>
      </w:r>
      <w:r w:rsidR="00AD09CA">
        <w:rPr>
          <w:rFonts w:ascii="Verdana" w:hAnsi="Verdana"/>
          <w:sz w:val="18"/>
          <w:szCs w:val="18"/>
        </w:rPr>
        <w:t xml:space="preserve">Het betreft een uitvraag van gegevens die van belang zijn </w:t>
      </w:r>
      <w:r w:rsidR="00640CB0">
        <w:rPr>
          <w:rFonts w:ascii="Verdana" w:hAnsi="Verdana"/>
          <w:sz w:val="18"/>
          <w:szCs w:val="18"/>
        </w:rPr>
        <w:t xml:space="preserve">voor het zorgkantoor </w:t>
      </w:r>
      <w:r w:rsidR="00AD09CA">
        <w:rPr>
          <w:rFonts w:ascii="Verdana" w:hAnsi="Verdana"/>
          <w:sz w:val="18"/>
          <w:szCs w:val="18"/>
        </w:rPr>
        <w:t xml:space="preserve">om </w:t>
      </w:r>
      <w:r w:rsidR="00640CB0">
        <w:rPr>
          <w:rFonts w:ascii="Verdana" w:hAnsi="Verdana"/>
          <w:sz w:val="18"/>
          <w:szCs w:val="18"/>
        </w:rPr>
        <w:t>uw</w:t>
      </w:r>
      <w:r w:rsidR="00AD09CA">
        <w:rPr>
          <w:rFonts w:ascii="Verdana" w:hAnsi="Verdana"/>
          <w:sz w:val="18"/>
          <w:szCs w:val="18"/>
        </w:rPr>
        <w:t xml:space="preserve"> verzoek voor een gemotiveerd afwijking</w:t>
      </w:r>
      <w:r w:rsidR="00640CB0">
        <w:rPr>
          <w:rFonts w:ascii="Verdana" w:hAnsi="Verdana"/>
          <w:sz w:val="18"/>
          <w:szCs w:val="18"/>
        </w:rPr>
        <w:t xml:space="preserve"> goed</w:t>
      </w:r>
      <w:r w:rsidR="00AD09CA">
        <w:rPr>
          <w:rFonts w:ascii="Verdana" w:hAnsi="Verdana"/>
          <w:sz w:val="18"/>
          <w:szCs w:val="18"/>
        </w:rPr>
        <w:t xml:space="preserve"> te</w:t>
      </w:r>
      <w:r w:rsidR="00640CB0">
        <w:rPr>
          <w:rFonts w:ascii="Verdana" w:hAnsi="Verdana"/>
          <w:sz w:val="18"/>
          <w:szCs w:val="18"/>
        </w:rPr>
        <w:t xml:space="preserve"> kunnen </w:t>
      </w:r>
      <w:r w:rsidR="00AD09CA">
        <w:rPr>
          <w:rFonts w:ascii="Verdana" w:hAnsi="Verdana"/>
          <w:sz w:val="18"/>
          <w:szCs w:val="18"/>
        </w:rPr>
        <w:t xml:space="preserve">beoordelen. </w:t>
      </w:r>
    </w:p>
    <w:p w14:paraId="19E214DA" w14:textId="77777777" w:rsidR="00B57CCE" w:rsidRDefault="00B57CCE" w:rsidP="00B57CCE">
      <w:pPr>
        <w:pStyle w:val="Lijstalinea"/>
        <w:numPr>
          <w:ilvl w:val="0"/>
          <w:numId w:val="34"/>
        </w:numPr>
        <w:rPr>
          <w:rFonts w:ascii="Verdana" w:hAnsi="Verdana"/>
          <w:sz w:val="18"/>
          <w:szCs w:val="18"/>
        </w:rPr>
      </w:pPr>
      <w:r w:rsidRPr="00B57CCE">
        <w:rPr>
          <w:rFonts w:ascii="Verdana" w:hAnsi="Verdana"/>
          <w:sz w:val="18"/>
          <w:szCs w:val="18"/>
        </w:rPr>
        <w:t xml:space="preserve">Afhankelijk van de vorm(en) van gemotiveerd afwijken waarvoor u mogelijk in aanmerking komt, wordt u gevraagd aanvullende </w:t>
      </w:r>
      <w:r w:rsidR="00C7282E">
        <w:rPr>
          <w:rFonts w:ascii="Verdana" w:hAnsi="Verdana"/>
          <w:sz w:val="18"/>
          <w:szCs w:val="18"/>
        </w:rPr>
        <w:t>gegevens</w:t>
      </w:r>
      <w:r w:rsidRPr="00B57CCE">
        <w:rPr>
          <w:rFonts w:ascii="Verdana" w:hAnsi="Verdana"/>
          <w:sz w:val="18"/>
          <w:szCs w:val="18"/>
        </w:rPr>
        <w:t xml:space="preserve"> aan te leveren. </w:t>
      </w:r>
    </w:p>
    <w:p w14:paraId="1146BABA" w14:textId="77777777" w:rsidR="00B57CCE" w:rsidRDefault="00B57CCE" w:rsidP="00B57CCE">
      <w:pPr>
        <w:pStyle w:val="Lijstalinea"/>
        <w:numPr>
          <w:ilvl w:val="0"/>
          <w:numId w:val="34"/>
        </w:numPr>
        <w:rPr>
          <w:rFonts w:ascii="Verdana" w:hAnsi="Verdana"/>
          <w:sz w:val="18"/>
          <w:szCs w:val="18"/>
        </w:rPr>
      </w:pPr>
      <w:r>
        <w:rPr>
          <w:rFonts w:ascii="Verdana" w:hAnsi="Verdana"/>
          <w:sz w:val="18"/>
          <w:szCs w:val="18"/>
        </w:rPr>
        <w:t xml:space="preserve">Het tabblad ‘gemotiveerd afwijken’ berekent </w:t>
      </w:r>
      <w:r w:rsidRPr="00B57CCE">
        <w:rPr>
          <w:rFonts w:ascii="Verdana" w:hAnsi="Verdana"/>
          <w:sz w:val="18"/>
          <w:szCs w:val="18"/>
          <w:u w:val="single"/>
        </w:rPr>
        <w:t>niet</w:t>
      </w:r>
      <w:r>
        <w:rPr>
          <w:rFonts w:ascii="Verdana" w:hAnsi="Verdana"/>
          <w:sz w:val="18"/>
          <w:szCs w:val="18"/>
        </w:rPr>
        <w:t xml:space="preserve"> automatisch of u in aanmerking komt voor gemotiveerd afwijken. </w:t>
      </w:r>
      <w:r w:rsidR="00C7282E">
        <w:rPr>
          <w:rFonts w:ascii="Verdana" w:hAnsi="Verdana"/>
          <w:sz w:val="18"/>
          <w:szCs w:val="18"/>
        </w:rPr>
        <w:t xml:space="preserve">Dit bepaalt het zorgkantoor </w:t>
      </w:r>
      <w:r>
        <w:rPr>
          <w:rFonts w:ascii="Verdana" w:hAnsi="Verdana"/>
          <w:sz w:val="18"/>
          <w:szCs w:val="18"/>
        </w:rPr>
        <w:t xml:space="preserve">aan de hand van de door u ingevulde gegevens in combinatie met uw situatie als zorgaanbieder (‘bijzondere omstandigheden’). </w:t>
      </w:r>
      <w:r w:rsidR="00C7282E">
        <w:rPr>
          <w:rFonts w:ascii="Verdana" w:hAnsi="Verdana"/>
          <w:sz w:val="18"/>
          <w:szCs w:val="18"/>
        </w:rPr>
        <w:t>Naar aanleiding van de door u ingevulde rekenhulp, neemt het zorgkantoor hierover contact met u op.</w:t>
      </w:r>
    </w:p>
    <w:p w14:paraId="617628A4" w14:textId="77777777" w:rsidR="00C7282E" w:rsidRDefault="00C7282E" w:rsidP="00C7282E">
      <w:pPr>
        <w:pStyle w:val="Lijstalinea"/>
        <w:numPr>
          <w:ilvl w:val="0"/>
          <w:numId w:val="34"/>
        </w:numPr>
        <w:rPr>
          <w:rFonts w:ascii="Verdana" w:hAnsi="Verdana"/>
          <w:sz w:val="18"/>
          <w:szCs w:val="18"/>
        </w:rPr>
      </w:pPr>
      <w:r>
        <w:rPr>
          <w:rFonts w:ascii="Verdana" w:hAnsi="Verdana"/>
          <w:sz w:val="18"/>
          <w:szCs w:val="18"/>
        </w:rPr>
        <w:t>De data-uitvraag</w:t>
      </w:r>
      <w:r w:rsidRPr="00EC51C2">
        <w:rPr>
          <w:rFonts w:ascii="Verdana" w:hAnsi="Verdana"/>
          <w:sz w:val="18"/>
          <w:szCs w:val="18"/>
        </w:rPr>
        <w:t xml:space="preserve"> gaat uit van </w:t>
      </w:r>
      <w:r>
        <w:rPr>
          <w:rFonts w:ascii="Verdana" w:hAnsi="Verdana"/>
          <w:sz w:val="18"/>
          <w:szCs w:val="18"/>
        </w:rPr>
        <w:t>gegevens</w:t>
      </w:r>
      <w:r w:rsidRPr="00EC51C2">
        <w:rPr>
          <w:rFonts w:ascii="Verdana" w:hAnsi="Verdana"/>
          <w:sz w:val="18"/>
          <w:szCs w:val="18"/>
        </w:rPr>
        <w:t xml:space="preserve"> op contractniveau per zorgkantoor (NZa 300-code). </w:t>
      </w:r>
    </w:p>
    <w:p w14:paraId="0D0208D4" w14:textId="7F0D2CC9" w:rsidR="00C7282E" w:rsidRDefault="00C7282E" w:rsidP="00C7282E">
      <w:pPr>
        <w:rPr>
          <w:rFonts w:ascii="Verdana" w:hAnsi="Verdana"/>
          <w:sz w:val="18"/>
          <w:szCs w:val="18"/>
        </w:rPr>
      </w:pPr>
      <w:r w:rsidRPr="00C7282E">
        <w:rPr>
          <w:rFonts w:ascii="Verdana" w:hAnsi="Verdana"/>
          <w:sz w:val="18"/>
          <w:szCs w:val="18"/>
        </w:rPr>
        <w:t xml:space="preserve">Hierna volgt een toelichting op de gevraagde input voor </w:t>
      </w:r>
      <w:r w:rsidR="002A44CD">
        <w:rPr>
          <w:rFonts w:ascii="Verdana" w:hAnsi="Verdana"/>
          <w:sz w:val="18"/>
          <w:szCs w:val="18"/>
        </w:rPr>
        <w:t>twee</w:t>
      </w:r>
      <w:r w:rsidR="007D7ECA">
        <w:rPr>
          <w:rFonts w:ascii="Verdana" w:hAnsi="Verdana"/>
          <w:sz w:val="18"/>
          <w:szCs w:val="18"/>
        </w:rPr>
        <w:t xml:space="preserve"> verschillende vormen van gemotiveerd afwijken</w:t>
      </w:r>
      <w:r w:rsidRPr="00C7282E">
        <w:rPr>
          <w:rFonts w:ascii="Verdana" w:hAnsi="Verdana"/>
          <w:sz w:val="18"/>
          <w:szCs w:val="18"/>
        </w:rPr>
        <w:t>.</w:t>
      </w:r>
    </w:p>
    <w:p w14:paraId="28459CA0" w14:textId="6E74A09B" w:rsidR="00C30DB7" w:rsidRDefault="00C30DB7" w:rsidP="00C30DB7">
      <w:pPr>
        <w:rPr>
          <w:rFonts w:ascii="Verdana" w:hAnsi="Verdana"/>
          <w:sz w:val="18"/>
          <w:szCs w:val="18"/>
        </w:rPr>
      </w:pPr>
      <w:r w:rsidRPr="00E210F2">
        <w:rPr>
          <w:rFonts w:ascii="Verdana" w:hAnsi="Verdana"/>
          <w:b/>
          <w:bCs/>
          <w:sz w:val="18"/>
          <w:szCs w:val="18"/>
        </w:rPr>
        <w:t>Compensatie daling verzuim</w:t>
      </w:r>
      <w:r>
        <w:rPr>
          <w:rFonts w:ascii="Verdana" w:hAnsi="Verdana"/>
          <w:b/>
          <w:bCs/>
          <w:sz w:val="18"/>
          <w:szCs w:val="18"/>
        </w:rPr>
        <w:t xml:space="preserve">: </w:t>
      </w:r>
      <w:r w:rsidR="0044622A" w:rsidRPr="0044622A">
        <w:rPr>
          <w:rFonts w:ascii="Verdana" w:hAnsi="Verdana"/>
          <w:bCs/>
          <w:sz w:val="18"/>
          <w:szCs w:val="18"/>
        </w:rPr>
        <w:t>Als er sprake is van een daling van verzuim met relevante omvang komt</w:t>
      </w:r>
      <w:r w:rsidR="0044622A">
        <w:rPr>
          <w:rFonts w:ascii="Verdana" w:hAnsi="Verdana"/>
          <w:bCs/>
          <w:sz w:val="18"/>
          <w:szCs w:val="18"/>
        </w:rPr>
        <w:t xml:space="preserve"> u in aanmerking voor een compensatie.</w:t>
      </w:r>
      <w:r w:rsidR="0044622A" w:rsidRPr="0044622A">
        <w:rPr>
          <w:rFonts w:ascii="Verdana" w:hAnsi="Verdana"/>
          <w:bCs/>
          <w:sz w:val="18"/>
          <w:szCs w:val="18"/>
        </w:rPr>
        <w:t xml:space="preserve"> </w:t>
      </w:r>
      <w:r>
        <w:rPr>
          <w:rFonts w:ascii="Verdana" w:hAnsi="Verdana"/>
          <w:sz w:val="18"/>
          <w:szCs w:val="18"/>
        </w:rPr>
        <w:t>Om te bepalen of u voor gemotiveerd afwijken in aanmerking komt vragen wij u om een verzuimcijfers aan te leveren. Hierbij is van belang:</w:t>
      </w:r>
    </w:p>
    <w:p w14:paraId="11966DD6" w14:textId="13AB63CE" w:rsidR="00C30DB7" w:rsidRDefault="00C30DB7" w:rsidP="00C30DB7">
      <w:pPr>
        <w:pStyle w:val="Lijstalinea"/>
        <w:numPr>
          <w:ilvl w:val="0"/>
          <w:numId w:val="35"/>
        </w:numPr>
        <w:rPr>
          <w:rFonts w:ascii="Verdana" w:hAnsi="Verdana"/>
          <w:sz w:val="18"/>
          <w:szCs w:val="18"/>
        </w:rPr>
      </w:pPr>
      <w:r w:rsidRPr="00C07C67">
        <w:rPr>
          <w:rFonts w:ascii="Verdana" w:hAnsi="Verdana"/>
          <w:sz w:val="18"/>
          <w:szCs w:val="18"/>
        </w:rPr>
        <w:t>Vult u de verzuimcijfers in zoals opgenomen in het jaarverslag. Voor 20</w:t>
      </w:r>
      <w:r w:rsidR="002A44CD">
        <w:rPr>
          <w:rFonts w:ascii="Verdana" w:hAnsi="Verdana"/>
          <w:sz w:val="18"/>
          <w:szCs w:val="18"/>
        </w:rPr>
        <w:t>20</w:t>
      </w:r>
      <w:r w:rsidRPr="00C07C67">
        <w:rPr>
          <w:rFonts w:ascii="Verdana" w:hAnsi="Verdana"/>
          <w:sz w:val="18"/>
          <w:szCs w:val="18"/>
        </w:rPr>
        <w:t xml:space="preserve"> en 202</w:t>
      </w:r>
      <w:r w:rsidR="002A44CD">
        <w:rPr>
          <w:rFonts w:ascii="Verdana" w:hAnsi="Verdana"/>
          <w:sz w:val="18"/>
          <w:szCs w:val="18"/>
        </w:rPr>
        <w:t>1</w:t>
      </w:r>
      <w:r w:rsidRPr="00C07C67">
        <w:rPr>
          <w:rFonts w:ascii="Verdana" w:hAnsi="Verdana"/>
          <w:sz w:val="18"/>
          <w:szCs w:val="18"/>
        </w:rPr>
        <w:t xml:space="preserve"> geeft u </w:t>
      </w:r>
      <w:r w:rsidR="00D017BD">
        <w:rPr>
          <w:rFonts w:ascii="Verdana" w:hAnsi="Verdana"/>
          <w:sz w:val="18"/>
          <w:szCs w:val="18"/>
        </w:rPr>
        <w:t>aa</w:t>
      </w:r>
      <w:r w:rsidR="00D017BD" w:rsidRPr="00C07C67">
        <w:rPr>
          <w:rFonts w:ascii="Verdana" w:hAnsi="Verdana"/>
          <w:sz w:val="18"/>
          <w:szCs w:val="18"/>
        </w:rPr>
        <w:t xml:space="preserve">n </w:t>
      </w:r>
      <w:r w:rsidRPr="00C07C67">
        <w:rPr>
          <w:rFonts w:ascii="Verdana" w:hAnsi="Verdana"/>
          <w:sz w:val="18"/>
          <w:szCs w:val="18"/>
        </w:rPr>
        <w:t xml:space="preserve">welke cijfers u verwacht, hanteer hierbij </w:t>
      </w:r>
      <w:r w:rsidR="00D017BD" w:rsidRPr="00C07C67">
        <w:rPr>
          <w:rFonts w:ascii="Verdana" w:hAnsi="Verdana"/>
          <w:sz w:val="18"/>
          <w:szCs w:val="18"/>
        </w:rPr>
        <w:t>dezelfde</w:t>
      </w:r>
      <w:r w:rsidRPr="00C07C67">
        <w:rPr>
          <w:rFonts w:ascii="Verdana" w:hAnsi="Verdana"/>
          <w:sz w:val="18"/>
          <w:szCs w:val="18"/>
        </w:rPr>
        <w:t xml:space="preserve"> uitgangspunten als voor bepaling van de verzuimcijfers voor het jaarverslag. </w:t>
      </w:r>
    </w:p>
    <w:p w14:paraId="530057B3" w14:textId="77777777" w:rsidR="00E210F2" w:rsidRDefault="00E210F2" w:rsidP="00E210F2">
      <w:pPr>
        <w:rPr>
          <w:rFonts w:ascii="Verdana" w:hAnsi="Verdana"/>
          <w:sz w:val="18"/>
          <w:szCs w:val="18"/>
        </w:rPr>
      </w:pPr>
      <w:r w:rsidRPr="007D7ECA">
        <w:rPr>
          <w:rFonts w:ascii="Verdana" w:hAnsi="Verdana"/>
          <w:b/>
          <w:bCs/>
          <w:sz w:val="18"/>
          <w:szCs w:val="18"/>
        </w:rPr>
        <w:t xml:space="preserve">Compensatie </w:t>
      </w:r>
      <w:r>
        <w:rPr>
          <w:rFonts w:ascii="Verdana" w:hAnsi="Verdana"/>
          <w:b/>
          <w:bCs/>
          <w:sz w:val="18"/>
          <w:szCs w:val="18"/>
        </w:rPr>
        <w:t xml:space="preserve">afbouw PNIL: </w:t>
      </w:r>
      <w:r w:rsidR="00A20DAD">
        <w:rPr>
          <w:rFonts w:ascii="Verdana" w:hAnsi="Verdana"/>
          <w:bCs/>
          <w:sz w:val="18"/>
          <w:szCs w:val="18"/>
        </w:rPr>
        <w:t xml:space="preserve">In stap 3 van dit model (tabblad input begroting) is een compensatie voor afbouw van de kosten van PNIL opgenomen. Voor deze compensatie is het uitgangspunt dat </w:t>
      </w:r>
      <w:r w:rsidR="00A20DAD">
        <w:rPr>
          <w:rFonts w:ascii="Verdana" w:hAnsi="Verdana"/>
          <w:sz w:val="18"/>
          <w:szCs w:val="18"/>
        </w:rPr>
        <w:t xml:space="preserve">de kosten van PNIL 50% duurder zijn dan van een vergelijkbaar personeelslid in loondienst. </w:t>
      </w:r>
      <w:r w:rsidR="00D151FC" w:rsidRPr="00D151FC">
        <w:rPr>
          <w:rFonts w:ascii="Verdana" w:hAnsi="Verdana"/>
          <w:bCs/>
          <w:sz w:val="18"/>
          <w:szCs w:val="18"/>
        </w:rPr>
        <w:t xml:space="preserve">Als het bedrag in de praktijk hoger uitvalt dan berekend op basis van </w:t>
      </w:r>
      <w:r w:rsidR="00D151FC">
        <w:rPr>
          <w:rFonts w:ascii="Verdana" w:hAnsi="Verdana"/>
          <w:bCs/>
          <w:sz w:val="18"/>
          <w:szCs w:val="18"/>
        </w:rPr>
        <w:t>deze</w:t>
      </w:r>
      <w:r w:rsidR="00D151FC" w:rsidRPr="00D151FC">
        <w:rPr>
          <w:rFonts w:ascii="Verdana" w:hAnsi="Verdana"/>
          <w:bCs/>
          <w:sz w:val="18"/>
          <w:szCs w:val="18"/>
        </w:rPr>
        <w:t xml:space="preserve"> methode</w:t>
      </w:r>
      <w:r w:rsidR="00D151FC">
        <w:rPr>
          <w:rFonts w:ascii="Verdana" w:hAnsi="Verdana"/>
          <w:bCs/>
          <w:sz w:val="18"/>
          <w:szCs w:val="18"/>
        </w:rPr>
        <w:t xml:space="preserve"> komt u mogelijk in aanmerking voor </w:t>
      </w:r>
      <w:r w:rsidR="00D151FC">
        <w:rPr>
          <w:rFonts w:ascii="Verdana" w:hAnsi="Verdana"/>
          <w:sz w:val="18"/>
          <w:szCs w:val="18"/>
        </w:rPr>
        <w:t>gemotiveerd afwijken op PNIL.</w:t>
      </w:r>
      <w:r w:rsidR="00D151FC" w:rsidRPr="00D151FC">
        <w:rPr>
          <w:rFonts w:ascii="Verdana" w:hAnsi="Verdana"/>
          <w:sz w:val="18"/>
          <w:szCs w:val="18"/>
        </w:rPr>
        <w:t xml:space="preserve"> </w:t>
      </w:r>
      <w:r w:rsidR="00D151FC">
        <w:rPr>
          <w:rFonts w:ascii="Verdana" w:hAnsi="Verdana"/>
          <w:sz w:val="18"/>
          <w:szCs w:val="18"/>
        </w:rPr>
        <w:t>Om te bepalen of u voor gemotiveerd afwijken in aanmerking komt vragen wij u om een specificatie van het type PNIL en de kosten voor dit type PNIL aan te leveren.</w:t>
      </w:r>
      <w:r>
        <w:rPr>
          <w:rFonts w:ascii="Verdana" w:hAnsi="Verdana"/>
          <w:sz w:val="18"/>
          <w:szCs w:val="18"/>
        </w:rPr>
        <w:t xml:space="preserve"> Hierbij is van belang:</w:t>
      </w:r>
    </w:p>
    <w:p w14:paraId="4F314744" w14:textId="7C1E7D42" w:rsidR="00D151FC" w:rsidRPr="00C91F49" w:rsidRDefault="00D151FC" w:rsidP="00D151FC">
      <w:pPr>
        <w:pStyle w:val="Lijstalinea"/>
        <w:numPr>
          <w:ilvl w:val="0"/>
          <w:numId w:val="35"/>
        </w:numPr>
        <w:rPr>
          <w:rFonts w:ascii="Verdana" w:hAnsi="Verdana"/>
          <w:sz w:val="18"/>
          <w:szCs w:val="18"/>
        </w:rPr>
      </w:pPr>
      <w:r w:rsidRPr="00C91F49">
        <w:rPr>
          <w:rFonts w:ascii="Verdana" w:hAnsi="Verdana"/>
          <w:sz w:val="18"/>
          <w:szCs w:val="18"/>
        </w:rPr>
        <w:t>In het model vult u</w:t>
      </w:r>
      <w:r w:rsidR="00C07C67">
        <w:rPr>
          <w:rFonts w:ascii="Verdana" w:hAnsi="Verdana"/>
          <w:sz w:val="18"/>
          <w:szCs w:val="18"/>
        </w:rPr>
        <w:t xml:space="preserve"> per jaar</w:t>
      </w:r>
      <w:r w:rsidRPr="00C91F49">
        <w:rPr>
          <w:rFonts w:ascii="Verdana" w:hAnsi="Verdana"/>
          <w:sz w:val="18"/>
          <w:szCs w:val="18"/>
        </w:rPr>
        <w:t xml:space="preserve"> het aantal uren inh</w:t>
      </w:r>
      <w:r w:rsidR="00C91F49" w:rsidRPr="00C91F49">
        <w:rPr>
          <w:rFonts w:ascii="Verdana" w:hAnsi="Verdana"/>
          <w:sz w:val="18"/>
          <w:szCs w:val="18"/>
        </w:rPr>
        <w:t>uur zorgpersoneel in</w:t>
      </w:r>
      <w:r w:rsidR="00C91F49">
        <w:rPr>
          <w:rFonts w:ascii="Verdana" w:hAnsi="Verdana"/>
          <w:sz w:val="18"/>
          <w:szCs w:val="18"/>
        </w:rPr>
        <w:t xml:space="preserve"> per categorie zorgpersoneel</w:t>
      </w:r>
      <w:r w:rsidR="00C91F49" w:rsidRPr="00C91F49">
        <w:rPr>
          <w:rFonts w:ascii="Verdana" w:hAnsi="Verdana"/>
          <w:sz w:val="18"/>
          <w:szCs w:val="18"/>
        </w:rPr>
        <w:t xml:space="preserve">. Het betreft de volgende categorieën. </w:t>
      </w:r>
      <w:r w:rsidR="00C91F49">
        <w:rPr>
          <w:rFonts w:ascii="Verdana" w:hAnsi="Verdana"/>
          <w:sz w:val="18"/>
          <w:szCs w:val="18"/>
        </w:rPr>
        <w:t>Zorgpersoneel, behandelaren</w:t>
      </w:r>
      <w:r w:rsidR="0092369B">
        <w:rPr>
          <w:rFonts w:ascii="Verdana" w:hAnsi="Verdana"/>
          <w:sz w:val="18"/>
          <w:szCs w:val="18"/>
        </w:rPr>
        <w:t xml:space="preserve"> en</w:t>
      </w:r>
      <w:r w:rsidR="00C91F49">
        <w:rPr>
          <w:rFonts w:ascii="Verdana" w:hAnsi="Verdana"/>
          <w:sz w:val="18"/>
          <w:szCs w:val="18"/>
        </w:rPr>
        <w:t xml:space="preserve"> </w:t>
      </w:r>
      <w:r w:rsidRPr="00C91F49">
        <w:rPr>
          <w:rFonts w:ascii="Verdana" w:hAnsi="Verdana"/>
          <w:sz w:val="18"/>
          <w:szCs w:val="18"/>
        </w:rPr>
        <w:t>overig</w:t>
      </w:r>
      <w:r w:rsidR="0092369B">
        <w:rPr>
          <w:rFonts w:ascii="Verdana" w:hAnsi="Verdana"/>
          <w:sz w:val="18"/>
          <w:szCs w:val="18"/>
        </w:rPr>
        <w:t xml:space="preserve"> zorgpersoneel.</w:t>
      </w:r>
      <w:r w:rsidRPr="00C91F49">
        <w:rPr>
          <w:rFonts w:ascii="Verdana" w:hAnsi="Verdana"/>
          <w:sz w:val="18"/>
          <w:szCs w:val="18"/>
        </w:rPr>
        <w:t xml:space="preserve"> </w:t>
      </w:r>
    </w:p>
    <w:p w14:paraId="3087E25B" w14:textId="77777777" w:rsidR="00E210F2" w:rsidRPr="00E210F2" w:rsidRDefault="00C91F49" w:rsidP="00E210F2">
      <w:pPr>
        <w:pStyle w:val="Lijstalinea"/>
        <w:numPr>
          <w:ilvl w:val="0"/>
          <w:numId w:val="35"/>
        </w:numPr>
        <w:rPr>
          <w:rFonts w:ascii="Verdana" w:hAnsi="Verdana"/>
          <w:sz w:val="18"/>
          <w:szCs w:val="18"/>
        </w:rPr>
      </w:pPr>
      <w:r>
        <w:rPr>
          <w:rFonts w:ascii="Verdana" w:hAnsi="Verdana"/>
          <w:sz w:val="18"/>
          <w:szCs w:val="18"/>
        </w:rPr>
        <w:t>Daarnaast vult u per jaar de kosten voor inhuur zorgpersoneel voor elk van deze categorieën in.</w:t>
      </w:r>
    </w:p>
    <w:p w14:paraId="6803910D" w14:textId="77777777" w:rsidR="00E210F2" w:rsidRPr="00E210F2" w:rsidRDefault="00E210F2" w:rsidP="00E210F2">
      <w:pPr>
        <w:rPr>
          <w:rFonts w:ascii="Verdana" w:hAnsi="Verdana"/>
          <w:sz w:val="18"/>
          <w:szCs w:val="18"/>
        </w:rPr>
      </w:pPr>
    </w:p>
    <w:p w14:paraId="6BE09150" w14:textId="77777777" w:rsidR="007D7ECA" w:rsidRDefault="007D7ECA" w:rsidP="007D7ECA">
      <w:pPr>
        <w:rPr>
          <w:rFonts w:ascii="Verdana" w:hAnsi="Verdana"/>
          <w:sz w:val="18"/>
          <w:szCs w:val="18"/>
        </w:rPr>
      </w:pPr>
    </w:p>
    <w:p w14:paraId="213391FE" w14:textId="77777777" w:rsidR="00C7282E" w:rsidRPr="00C7282E" w:rsidRDefault="00C7282E" w:rsidP="00C7282E">
      <w:pPr>
        <w:rPr>
          <w:rFonts w:ascii="Verdana" w:hAnsi="Verdana"/>
          <w:sz w:val="18"/>
          <w:szCs w:val="18"/>
        </w:rPr>
      </w:pPr>
    </w:p>
    <w:p w14:paraId="52746E5A" w14:textId="77777777" w:rsidR="00C7282E" w:rsidRDefault="00C7282E" w:rsidP="00C7282E">
      <w:pPr>
        <w:rPr>
          <w:rFonts w:ascii="Verdana" w:hAnsi="Verdana"/>
          <w:sz w:val="18"/>
          <w:szCs w:val="18"/>
        </w:rPr>
      </w:pPr>
    </w:p>
    <w:p w14:paraId="57BA4B8F" w14:textId="77777777" w:rsidR="00C7282E" w:rsidRPr="00C7282E" w:rsidRDefault="00C7282E" w:rsidP="00C7282E">
      <w:pPr>
        <w:rPr>
          <w:rFonts w:ascii="Verdana" w:hAnsi="Verdana"/>
          <w:sz w:val="18"/>
          <w:szCs w:val="18"/>
        </w:rPr>
      </w:pPr>
    </w:p>
    <w:p w14:paraId="20F19720" w14:textId="77777777" w:rsidR="00B57CCE" w:rsidRPr="00EC51C2" w:rsidRDefault="00B57CCE" w:rsidP="00B57CCE">
      <w:pPr>
        <w:rPr>
          <w:rFonts w:ascii="Verdana" w:hAnsi="Verdana"/>
          <w:sz w:val="18"/>
          <w:szCs w:val="18"/>
        </w:rPr>
      </w:pPr>
    </w:p>
    <w:sectPr w:rsidR="00B57CCE" w:rsidRPr="00EC51C2" w:rsidSect="00A17C6E">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8992" w14:textId="77777777" w:rsidR="00596F4F" w:rsidRDefault="00596F4F" w:rsidP="005E10B2">
      <w:pPr>
        <w:spacing w:after="0" w:line="240" w:lineRule="auto"/>
      </w:pPr>
      <w:r>
        <w:separator/>
      </w:r>
    </w:p>
  </w:endnote>
  <w:endnote w:type="continuationSeparator" w:id="0">
    <w:p w14:paraId="797625DF" w14:textId="77777777" w:rsidR="00596F4F" w:rsidRDefault="00596F4F" w:rsidP="005E10B2">
      <w:pPr>
        <w:spacing w:after="0" w:line="240" w:lineRule="auto"/>
      </w:pPr>
      <w:r>
        <w:continuationSeparator/>
      </w:r>
    </w:p>
  </w:endnote>
  <w:endnote w:type="continuationNotice" w:id="1">
    <w:p w14:paraId="0E21FB99" w14:textId="77777777" w:rsidR="00596F4F" w:rsidRDefault="00596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ijksoverheidSansWebText-Bold">
    <w:altName w:val="Calibri"/>
    <w:panose1 w:val="00000000000000000000"/>
    <w:charset w:val="00"/>
    <w:family w:val="auto"/>
    <w:notTrueType/>
    <w:pitch w:val="default"/>
    <w:sig w:usb0="00000003" w:usb1="00000000" w:usb2="00000000" w:usb3="00000000" w:csb0="00000001" w:csb1="00000000"/>
  </w:font>
  <w:font w:name="Times New Roman (Hoofdtekst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C0D" w14:textId="2ECB8CC1" w:rsidR="00344D2C" w:rsidRPr="00344D2C" w:rsidRDefault="00344D2C" w:rsidP="00460E21">
    <w:pPr>
      <w:pStyle w:val="Voettekst"/>
      <w:pBdr>
        <w:bottom w:val="single" w:sz="4" w:space="1" w:color="BFBFBF" w:themeColor="background1" w:themeShade="BF"/>
      </w:pBdr>
      <w:tabs>
        <w:tab w:val="clear" w:pos="4536"/>
      </w:tabs>
      <w:rPr>
        <w:rFonts w:ascii="Verdana" w:hAnsi="Verdana"/>
        <w:noProof/>
        <w:sz w:val="16"/>
        <w:szCs w:val="16"/>
      </w:rPr>
    </w:pPr>
  </w:p>
  <w:p w14:paraId="17AEEB35" w14:textId="20668764" w:rsidR="00832C59" w:rsidRPr="007B4B7B" w:rsidRDefault="008E0CA8" w:rsidP="000505BE">
    <w:pPr>
      <w:pStyle w:val="Voettekst"/>
      <w:tabs>
        <w:tab w:val="clear" w:pos="4536"/>
      </w:tabs>
      <w:jc w:val="right"/>
      <w:rPr>
        <w:rFonts w:ascii="Verdana" w:hAnsi="Verdana"/>
        <w:sz w:val="16"/>
        <w:szCs w:val="16"/>
      </w:rPr>
    </w:pPr>
    <w:r w:rsidRPr="007B4B7B">
      <w:rPr>
        <w:rFonts w:ascii="Verdana" w:hAnsi="Verdana"/>
        <w:noProof/>
        <w:sz w:val="16"/>
        <w:szCs w:val="16"/>
      </w:rPr>
      <w:fldChar w:fldCharType="begin"/>
    </w:r>
    <w:r w:rsidRPr="007B4B7B">
      <w:rPr>
        <w:rFonts w:ascii="Verdana" w:hAnsi="Verdana"/>
        <w:noProof/>
        <w:sz w:val="16"/>
        <w:szCs w:val="16"/>
      </w:rPr>
      <w:instrText xml:space="preserve"> FILENAME  \* MERGEFORMAT </w:instrText>
    </w:r>
    <w:r w:rsidRPr="007B4B7B">
      <w:rPr>
        <w:rFonts w:ascii="Verdana" w:hAnsi="Verdana"/>
        <w:noProof/>
        <w:sz w:val="16"/>
        <w:szCs w:val="16"/>
      </w:rPr>
      <w:fldChar w:fldCharType="separate"/>
    </w:r>
    <w:r w:rsidR="00460E21">
      <w:rPr>
        <w:rFonts w:ascii="Verdana" w:hAnsi="Verdana"/>
        <w:noProof/>
        <w:sz w:val="16"/>
        <w:szCs w:val="16"/>
      </w:rPr>
      <w:t>Toelichting Aanvraag- en Verantwoordingsmodel Kwaliteitsbudget 202</w:t>
    </w:r>
    <w:r w:rsidR="00127D03">
      <w:rPr>
        <w:rFonts w:ascii="Verdana" w:hAnsi="Verdana"/>
        <w:noProof/>
        <w:sz w:val="16"/>
        <w:szCs w:val="16"/>
      </w:rPr>
      <w:t>1</w:t>
    </w:r>
    <w:r w:rsidR="00460E21">
      <w:rPr>
        <w:rFonts w:ascii="Verdana" w:hAnsi="Verdana"/>
        <w:noProof/>
        <w:sz w:val="16"/>
        <w:szCs w:val="16"/>
      </w:rPr>
      <w:t xml:space="preserve"> </w:t>
    </w:r>
    <w:r w:rsidR="00127D03">
      <w:rPr>
        <w:rFonts w:ascii="Verdana" w:hAnsi="Verdana"/>
        <w:noProof/>
        <w:sz w:val="16"/>
        <w:szCs w:val="16"/>
      </w:rPr>
      <w:t>20200827</w:t>
    </w:r>
    <w:r w:rsidR="00460E21">
      <w:rPr>
        <w:rFonts w:ascii="Verdana" w:hAnsi="Verdana"/>
        <w:noProof/>
        <w:sz w:val="16"/>
        <w:szCs w:val="16"/>
      </w:rPr>
      <w:t>.docx</w:t>
    </w:r>
    <w:r w:rsidRPr="007B4B7B">
      <w:rPr>
        <w:rFonts w:ascii="Verdana" w:hAnsi="Verdana"/>
        <w:noProof/>
        <w:sz w:val="16"/>
        <w:szCs w:val="16"/>
      </w:rPr>
      <w:fldChar w:fldCharType="end"/>
    </w:r>
    <w:r w:rsidR="00832C59" w:rsidRPr="007B4B7B">
      <w:rPr>
        <w:rFonts w:ascii="Verdana" w:hAnsi="Verdana"/>
        <w:sz w:val="16"/>
        <w:szCs w:val="16"/>
      </w:rPr>
      <w:tab/>
    </w:r>
    <w:sdt>
      <w:sdtPr>
        <w:rPr>
          <w:rFonts w:ascii="Verdana" w:hAnsi="Verdana"/>
          <w:sz w:val="16"/>
          <w:szCs w:val="16"/>
        </w:rPr>
        <w:id w:val="20509390"/>
        <w:docPartObj>
          <w:docPartGallery w:val="Page Numbers (Bottom of Page)"/>
          <w:docPartUnique/>
        </w:docPartObj>
      </w:sdtPr>
      <w:sdtEndPr/>
      <w:sdtContent>
        <w:r w:rsidR="00832C59" w:rsidRPr="007B4B7B">
          <w:rPr>
            <w:rFonts w:ascii="Verdana" w:hAnsi="Verdana"/>
            <w:noProof/>
            <w:sz w:val="16"/>
            <w:szCs w:val="16"/>
          </w:rPr>
          <w:fldChar w:fldCharType="begin"/>
        </w:r>
        <w:r w:rsidR="00832C59" w:rsidRPr="007B4B7B">
          <w:rPr>
            <w:rFonts w:ascii="Verdana" w:hAnsi="Verdana"/>
            <w:noProof/>
            <w:sz w:val="16"/>
            <w:szCs w:val="16"/>
          </w:rPr>
          <w:instrText xml:space="preserve"> PAGE   \* MERGEFORMAT </w:instrText>
        </w:r>
        <w:r w:rsidR="00832C59" w:rsidRPr="007B4B7B">
          <w:rPr>
            <w:rFonts w:ascii="Verdana" w:hAnsi="Verdana"/>
            <w:noProof/>
            <w:sz w:val="16"/>
            <w:szCs w:val="16"/>
          </w:rPr>
          <w:fldChar w:fldCharType="separate"/>
        </w:r>
        <w:r w:rsidR="00D52BBA">
          <w:rPr>
            <w:rFonts w:ascii="Verdana" w:hAnsi="Verdana"/>
            <w:noProof/>
            <w:sz w:val="16"/>
            <w:szCs w:val="16"/>
          </w:rPr>
          <w:t>15</w:t>
        </w:r>
        <w:r w:rsidR="00832C59" w:rsidRPr="007B4B7B">
          <w:rPr>
            <w:rFonts w:ascii="Verdana" w:hAnsi="Verdana"/>
            <w:noProof/>
            <w:sz w:val="16"/>
            <w:szCs w:val="16"/>
          </w:rPr>
          <w:fldChar w:fldCharType="end"/>
        </w:r>
      </w:sdtContent>
    </w:sdt>
  </w:p>
  <w:p w14:paraId="734C7077" w14:textId="42981029" w:rsidR="00460E21" w:rsidRPr="00460E21" w:rsidRDefault="00485284" w:rsidP="00460E21">
    <w:pPr>
      <w:spacing w:after="0" w:line="240" w:lineRule="auto"/>
      <w:rPr>
        <w:rFonts w:ascii="Verdana" w:hAnsi="Verdana"/>
        <w:sz w:val="16"/>
        <w:szCs w:val="16"/>
      </w:rPr>
    </w:pPr>
    <w:r w:rsidRPr="007B4B7B">
      <w:rPr>
        <w:rFonts w:ascii="Verdana" w:hAnsi="Verdana" w:cs="Times New Roman (Hoofdtekst CS)"/>
        <w:sz w:val="16"/>
        <w:szCs w:val="16"/>
      </w:rPr>
      <w:fldChar w:fldCharType="begin"/>
    </w:r>
    <w:r w:rsidRPr="007B4B7B">
      <w:rPr>
        <w:rFonts w:ascii="Verdana" w:hAnsi="Verdana" w:cs="Times New Roman (Hoofdtekst CS)"/>
        <w:sz w:val="16"/>
        <w:szCs w:val="16"/>
      </w:rPr>
      <w:instrText xml:space="preserve"> REF Versie \h  \* MERGEFORMAT </w:instrText>
    </w:r>
    <w:r w:rsidRPr="007B4B7B">
      <w:rPr>
        <w:rFonts w:ascii="Verdana" w:hAnsi="Verdana" w:cs="Times New Roman (Hoofdtekst CS)"/>
        <w:sz w:val="16"/>
        <w:szCs w:val="16"/>
      </w:rPr>
    </w:r>
    <w:r w:rsidRPr="007B4B7B">
      <w:rPr>
        <w:rFonts w:ascii="Verdana" w:hAnsi="Verdana" w:cs="Times New Roman (Hoofdtekst CS)"/>
        <w:sz w:val="16"/>
        <w:szCs w:val="16"/>
      </w:rPr>
      <w:fldChar w:fldCharType="separate"/>
    </w:r>
    <w:r w:rsidR="00127D03">
      <w:rPr>
        <w:rFonts w:ascii="Verdana" w:hAnsi="Verdana" w:cs="Times New Roman (Hoofdtekst CS)"/>
        <w:sz w:val="16"/>
        <w:szCs w:val="16"/>
      </w:rPr>
      <w:t>1 september 2020</w:t>
    </w:r>
    <w:r w:rsidR="00460E21" w:rsidRPr="00460E21">
      <w:rPr>
        <w:rFonts w:ascii="Verdana" w:hAnsi="Verdana" w:cs="Times New Roman (Hoofdtekst CS)"/>
        <w:sz w:val="16"/>
        <w:szCs w:val="16"/>
      </w:rPr>
      <w:t>,</w:t>
    </w:r>
    <w:r w:rsidR="00460E21" w:rsidRPr="00460E21">
      <w:rPr>
        <w:rFonts w:ascii="Verdana" w:hAnsi="Verdana"/>
        <w:sz w:val="16"/>
        <w:szCs w:val="16"/>
      </w:rPr>
      <w:t xml:space="preserve"> versie 20</w:t>
    </w:r>
    <w:r w:rsidR="00137CF0">
      <w:rPr>
        <w:rFonts w:ascii="Verdana" w:hAnsi="Verdana"/>
        <w:sz w:val="16"/>
        <w:szCs w:val="16"/>
      </w:rPr>
      <w:t>20</w:t>
    </w:r>
    <w:r w:rsidR="00EA0F1B">
      <w:rPr>
        <w:rFonts w:ascii="Verdana" w:hAnsi="Verdana"/>
        <w:sz w:val="16"/>
        <w:szCs w:val="16"/>
      </w:rPr>
      <w:t>-</w:t>
    </w:r>
    <w:r w:rsidR="00044244">
      <w:rPr>
        <w:rFonts w:ascii="Verdana" w:hAnsi="Verdana"/>
        <w:sz w:val="16"/>
        <w:szCs w:val="16"/>
      </w:rPr>
      <w:t>1.</w:t>
    </w:r>
    <w:r w:rsidR="00EA0F1B">
      <w:rPr>
        <w:rFonts w:ascii="Verdana" w:hAnsi="Verdana"/>
        <w:sz w:val="16"/>
        <w:szCs w:val="16"/>
      </w:rPr>
      <w:t>2</w:t>
    </w:r>
  </w:p>
  <w:p w14:paraId="12ADB06B" w14:textId="77777777" w:rsidR="00485284" w:rsidRPr="006A075A" w:rsidRDefault="00485284" w:rsidP="006A075A">
    <w:pPr>
      <w:spacing w:after="0" w:line="240" w:lineRule="auto"/>
      <w:rPr>
        <w:rFonts w:ascii="Verdana" w:hAnsi="Verdana" w:cs="Times New Roman (Hoofdtekst CS)"/>
        <w:sz w:val="16"/>
        <w:szCs w:val="16"/>
      </w:rPr>
    </w:pPr>
    <w:r w:rsidRPr="007B4B7B">
      <w:rPr>
        <w:rFonts w:ascii="Verdana" w:hAnsi="Verdana" w:cs="Times New Roman (Hoofdtekst 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75D3" w14:textId="77777777" w:rsidR="00596F4F" w:rsidRDefault="00596F4F" w:rsidP="005E10B2">
      <w:pPr>
        <w:spacing w:after="0" w:line="240" w:lineRule="auto"/>
      </w:pPr>
      <w:r>
        <w:separator/>
      </w:r>
    </w:p>
  </w:footnote>
  <w:footnote w:type="continuationSeparator" w:id="0">
    <w:p w14:paraId="0510E01A" w14:textId="77777777" w:rsidR="00596F4F" w:rsidRDefault="00596F4F" w:rsidP="005E10B2">
      <w:pPr>
        <w:spacing w:after="0" w:line="240" w:lineRule="auto"/>
      </w:pPr>
      <w:r>
        <w:continuationSeparator/>
      </w:r>
    </w:p>
  </w:footnote>
  <w:footnote w:type="continuationNotice" w:id="1">
    <w:p w14:paraId="767B667F" w14:textId="77777777" w:rsidR="00596F4F" w:rsidRDefault="00596F4F">
      <w:pPr>
        <w:spacing w:after="0" w:line="240" w:lineRule="auto"/>
      </w:pPr>
    </w:p>
  </w:footnote>
  <w:footnote w:id="2">
    <w:p w14:paraId="05E51D8A" w14:textId="29F33EA6" w:rsidR="00662166" w:rsidRDefault="00662166">
      <w:pPr>
        <w:pStyle w:val="Voetnoottekst"/>
      </w:pPr>
      <w:r>
        <w:rPr>
          <w:rStyle w:val="Voetnootmarkering"/>
        </w:rPr>
        <w:footnoteRef/>
      </w:r>
      <w:r>
        <w:t xml:space="preserve"> NZa </w:t>
      </w:r>
      <w:r w:rsidRPr="00F108F1">
        <w:rPr>
          <w:rFonts w:ascii="RijksoverheidSansWebText-Bold" w:hAnsi="RijksoverheidSansWebText-Bold" w:cs="RijksoverheidSansWebText-Bold"/>
          <w:b/>
          <w:bCs/>
        </w:rPr>
        <w:t>Beleidsregel SARS-CoV-2 virus - BR/REG-20158</w:t>
      </w:r>
    </w:p>
  </w:footnote>
  <w:footnote w:id="3">
    <w:p w14:paraId="460DD033" w14:textId="77777777" w:rsidR="009A2948" w:rsidRPr="008A48C8" w:rsidRDefault="009A2948">
      <w:pPr>
        <w:pStyle w:val="Voetnoottekst"/>
        <w:rPr>
          <w:sz w:val="16"/>
          <w:szCs w:val="16"/>
        </w:rPr>
      </w:pPr>
      <w:r w:rsidRPr="008A48C8">
        <w:rPr>
          <w:rStyle w:val="Voetnootmarkering"/>
          <w:sz w:val="16"/>
          <w:szCs w:val="16"/>
        </w:rPr>
        <w:footnoteRef/>
      </w:r>
      <w:r w:rsidRPr="008A48C8">
        <w:rPr>
          <w:sz w:val="16"/>
          <w:szCs w:val="16"/>
        </w:rPr>
        <w:t xml:space="preserve"> De begroting kan in het Portaal worden geactualiseerd.</w:t>
      </w:r>
    </w:p>
  </w:footnote>
  <w:footnote w:id="4">
    <w:p w14:paraId="1AF91483" w14:textId="77777777" w:rsidR="00832C59" w:rsidRPr="00AD0D32" w:rsidRDefault="00832C59" w:rsidP="009132DF">
      <w:pPr>
        <w:rPr>
          <w:rFonts w:ascii="Verdana" w:hAnsi="Verdana"/>
          <w:i/>
          <w:iCs/>
          <w:sz w:val="16"/>
          <w:szCs w:val="16"/>
        </w:rPr>
      </w:pPr>
      <w:r w:rsidRPr="009132DF">
        <w:rPr>
          <w:rStyle w:val="Voetnootmarkering"/>
          <w:rFonts w:ascii="Verdana" w:hAnsi="Verdana"/>
        </w:rPr>
        <w:footnoteRef/>
      </w:r>
      <w:r>
        <w:rPr>
          <w:rFonts w:ascii="Verdana" w:hAnsi="Verdana"/>
          <w:i/>
          <w:iCs/>
          <w:sz w:val="16"/>
          <w:szCs w:val="16"/>
        </w:rPr>
        <w:t>Dit</w:t>
      </w:r>
      <w:r w:rsidRPr="007E127A">
        <w:rPr>
          <w:rFonts w:ascii="Verdana" w:hAnsi="Verdana"/>
          <w:i/>
          <w:iCs/>
          <w:sz w:val="16"/>
          <w:szCs w:val="16"/>
        </w:rPr>
        <w:t xml:space="preserve"> omvat de kosten uit rubriek 41 (salarissen) en 42 (loonheffing, sociale kosten en andere personeelskosten) uit het Rekeningschema voor </w:t>
      </w:r>
      <w:r w:rsidR="00374BA4">
        <w:rPr>
          <w:rFonts w:ascii="Verdana" w:hAnsi="Verdana"/>
          <w:i/>
          <w:iCs/>
          <w:sz w:val="16"/>
          <w:szCs w:val="16"/>
        </w:rPr>
        <w:t>zorgaanbieders</w:t>
      </w:r>
      <w:r w:rsidRPr="007E127A">
        <w:rPr>
          <w:rFonts w:ascii="Verdana" w:hAnsi="Verdana"/>
          <w:i/>
          <w:iCs/>
          <w:sz w:val="16"/>
          <w:szCs w:val="16"/>
        </w:rPr>
        <w:t xml:space="preserve"> (</w:t>
      </w:r>
      <w:r w:rsidRPr="007E127A">
        <w:rPr>
          <w:rFonts w:ascii="Verdana" w:hAnsi="Verdana"/>
          <w:i/>
          <w:iCs/>
          <w:sz w:val="16"/>
          <w:szCs w:val="16"/>
        </w:rPr>
        <w:t>Prismant) zoals nader omschreven in het accountantsprotocol.</w:t>
      </w:r>
    </w:p>
  </w:footnote>
  <w:footnote w:id="5">
    <w:p w14:paraId="6094B337" w14:textId="15F78EAF" w:rsidR="00832C59" w:rsidRPr="009132DF" w:rsidRDefault="00832C59" w:rsidP="008D181D">
      <w:pPr>
        <w:pStyle w:val="Voetnoottekst"/>
        <w:rPr>
          <w:rFonts w:ascii="Verdana" w:hAnsi="Verdana"/>
          <w:sz w:val="16"/>
          <w:szCs w:val="16"/>
        </w:rPr>
      </w:pPr>
      <w:r w:rsidRPr="009132DF">
        <w:rPr>
          <w:rStyle w:val="Voetnootmarkering"/>
          <w:rFonts w:ascii="Verdana" w:hAnsi="Verdana"/>
          <w:sz w:val="16"/>
          <w:szCs w:val="16"/>
        </w:rPr>
        <w:footnoteRef/>
      </w:r>
      <w:r w:rsidRPr="009132DF">
        <w:rPr>
          <w:rFonts w:ascii="Verdana" w:hAnsi="Verdana"/>
          <w:sz w:val="16"/>
          <w:szCs w:val="16"/>
        </w:rPr>
        <w:t xml:space="preserve"> Zoals aangegeven in het programmaplan `Thuis in het Verpleeghuis’ geldt dat er bij de definitieve bepaling van het kwaliteitsbudget in 202</w:t>
      </w:r>
      <w:r w:rsidR="00DF57E6">
        <w:rPr>
          <w:rFonts w:ascii="Verdana" w:hAnsi="Verdana"/>
          <w:sz w:val="16"/>
          <w:szCs w:val="16"/>
        </w:rPr>
        <w:t>1</w:t>
      </w:r>
      <w:r w:rsidRPr="009132DF">
        <w:rPr>
          <w:rFonts w:ascii="Verdana" w:hAnsi="Verdana"/>
          <w:sz w:val="16"/>
          <w:szCs w:val="16"/>
        </w:rPr>
        <w:t xml:space="preserve"> gedurende de ingroeifase van het kwaliteitskader rekening zal worden gehouden met de feitelijke ontwikkelingen omtrent het aantal ingezette FTE.</w:t>
      </w:r>
    </w:p>
  </w:footnote>
  <w:footnote w:id="6">
    <w:p w14:paraId="43AC25B7" w14:textId="0E376BA3" w:rsidR="00223494" w:rsidRDefault="00223494">
      <w:pPr>
        <w:pStyle w:val="Voetnoottekst"/>
      </w:pPr>
      <w:r>
        <w:rPr>
          <w:rStyle w:val="Voetnootmarkering"/>
        </w:rPr>
        <w:footnoteRef/>
      </w:r>
      <w:r>
        <w:t xml:space="preserve"> </w:t>
      </w:r>
      <w:r w:rsidR="00F82B6B" w:rsidRPr="008A48C8">
        <w:rPr>
          <w:rFonts w:ascii="Verdana" w:hAnsi="Verdana"/>
          <w:sz w:val="16"/>
          <w:szCs w:val="16"/>
        </w:rPr>
        <w:t>Onder hoofdstuk 4.1 en 4.2 i</w:t>
      </w:r>
      <w:r w:rsidR="00BB1F5F" w:rsidRPr="008A48C8">
        <w:rPr>
          <w:rFonts w:ascii="Verdana" w:hAnsi="Verdana"/>
          <w:sz w:val="16"/>
          <w:szCs w:val="16"/>
        </w:rPr>
        <w:t xml:space="preserve">n </w:t>
      </w:r>
      <w:r w:rsidR="003B4F1B" w:rsidRPr="008A48C8">
        <w:rPr>
          <w:rFonts w:ascii="Verdana" w:hAnsi="Verdana"/>
          <w:sz w:val="16"/>
          <w:szCs w:val="16"/>
        </w:rPr>
        <w:t>document</w:t>
      </w:r>
      <w:r w:rsidR="00DF57E6" w:rsidRPr="00DF57E6">
        <w:rPr>
          <w:rFonts w:ascii="Verdana" w:hAnsi="Verdana"/>
          <w:sz w:val="18"/>
          <w:szCs w:val="18"/>
        </w:rPr>
        <w:t xml:space="preserve"> </w:t>
      </w:r>
      <w:r w:rsidR="00DF57E6">
        <w:rPr>
          <w:rFonts w:ascii="Verdana" w:hAnsi="Verdana"/>
          <w:sz w:val="18"/>
          <w:szCs w:val="18"/>
        </w:rPr>
        <w:t>het ‘</w:t>
      </w:r>
      <w:r w:rsidR="00DF57E6" w:rsidRPr="00AB3B35">
        <w:rPr>
          <w:rFonts w:ascii="Verdana" w:hAnsi="Verdana"/>
          <w:sz w:val="18"/>
          <w:szCs w:val="18"/>
        </w:rPr>
        <w:t>Inkoopkader langdurige zorg 2021-2023</w:t>
      </w:r>
      <w:r w:rsidR="00DF57E6">
        <w:rPr>
          <w:rFonts w:ascii="Verdana" w:hAnsi="Verdana"/>
          <w:sz w:val="18"/>
          <w:szCs w:val="18"/>
        </w:rPr>
        <w:t>’</w:t>
      </w:r>
      <w:r w:rsidR="00DF57E6" w:rsidRPr="00AB3B35">
        <w:rPr>
          <w:rFonts w:ascii="Verdana" w:hAnsi="Verdana"/>
          <w:sz w:val="18"/>
          <w:szCs w:val="18"/>
        </w:rPr>
        <w:t xml:space="preserve"> </w:t>
      </w:r>
      <w:r w:rsidR="003B4F1B" w:rsidRPr="008A48C8">
        <w:rPr>
          <w:rFonts w:ascii="Verdana" w:hAnsi="Verdana"/>
          <w:sz w:val="16"/>
          <w:szCs w:val="16"/>
        </w:rPr>
        <w:t xml:space="preserve"> </w:t>
      </w:r>
      <w:r w:rsidR="00F82B6B" w:rsidRPr="008A48C8">
        <w:rPr>
          <w:rFonts w:ascii="Verdana" w:hAnsi="Verdana"/>
          <w:sz w:val="16"/>
          <w:szCs w:val="16"/>
        </w:rPr>
        <w:t xml:space="preserve"> </w:t>
      </w:r>
      <w:r w:rsidR="003B4F1B" w:rsidRPr="008A48C8">
        <w:rPr>
          <w:rFonts w:ascii="Verdana" w:hAnsi="Verdana"/>
          <w:sz w:val="16"/>
          <w:szCs w:val="16"/>
        </w:rPr>
        <w:t xml:space="preserve">is </w:t>
      </w:r>
      <w:r w:rsidR="00DF57E6">
        <w:rPr>
          <w:rFonts w:ascii="Verdana" w:hAnsi="Verdana"/>
          <w:sz w:val="16"/>
          <w:szCs w:val="16"/>
        </w:rPr>
        <w:t>de</w:t>
      </w:r>
      <w:r w:rsidR="003B4F1B" w:rsidRPr="008A48C8">
        <w:rPr>
          <w:rFonts w:ascii="Verdana" w:hAnsi="Verdana"/>
          <w:sz w:val="16"/>
          <w:szCs w:val="16"/>
        </w:rPr>
        <w:t xml:space="preserve"> </w:t>
      </w:r>
      <w:r w:rsidR="00F82B6B" w:rsidRPr="008A48C8">
        <w:rPr>
          <w:rFonts w:ascii="Verdana" w:hAnsi="Verdana"/>
          <w:sz w:val="16"/>
          <w:szCs w:val="16"/>
        </w:rPr>
        <w:t>compensatiecomponent</w:t>
      </w:r>
      <w:r w:rsidR="003B4F1B" w:rsidRPr="008A48C8">
        <w:rPr>
          <w:rFonts w:ascii="Verdana" w:hAnsi="Verdana"/>
          <w:sz w:val="16"/>
          <w:szCs w:val="16"/>
        </w:rPr>
        <w:t xml:space="preserve"> beschreven</w:t>
      </w:r>
      <w:r w:rsidR="00F82B6B" w:rsidRPr="008A48C8">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5E3"/>
    <w:multiLevelType w:val="hybridMultilevel"/>
    <w:tmpl w:val="7BE211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9B1DED"/>
    <w:multiLevelType w:val="hybridMultilevel"/>
    <w:tmpl w:val="89BC67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A62449"/>
    <w:multiLevelType w:val="hybridMultilevel"/>
    <w:tmpl w:val="6584E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4A01A2"/>
    <w:multiLevelType w:val="hybridMultilevel"/>
    <w:tmpl w:val="AA24AA9E"/>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6073AC0"/>
    <w:multiLevelType w:val="hybridMultilevel"/>
    <w:tmpl w:val="30B86D4A"/>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5C6881"/>
    <w:multiLevelType w:val="hybridMultilevel"/>
    <w:tmpl w:val="AC827A9E"/>
    <w:lvl w:ilvl="0" w:tplc="04130001">
      <w:start w:val="1"/>
      <w:numFmt w:val="bullet"/>
      <w:lvlText w:val=""/>
      <w:lvlJc w:val="left"/>
      <w:pPr>
        <w:ind w:left="360" w:hanging="360"/>
      </w:pPr>
      <w:rPr>
        <w:rFonts w:ascii="Symbol" w:hAnsi="Symbol" w:hint="default"/>
      </w:rPr>
    </w:lvl>
    <w:lvl w:ilvl="1" w:tplc="04130011">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332F3E"/>
    <w:multiLevelType w:val="hybridMultilevel"/>
    <w:tmpl w:val="45D8BD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4D1F75"/>
    <w:multiLevelType w:val="hybridMultilevel"/>
    <w:tmpl w:val="2B02700E"/>
    <w:lvl w:ilvl="0" w:tplc="6A26A82C">
      <w:start w:val="1"/>
      <w:numFmt w:val="decimal"/>
      <w:lvlText w:val="5.%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203A07"/>
    <w:multiLevelType w:val="hybridMultilevel"/>
    <w:tmpl w:val="B5FE81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F63047"/>
    <w:multiLevelType w:val="hybridMultilevel"/>
    <w:tmpl w:val="99FAAB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A35BC6"/>
    <w:multiLevelType w:val="hybridMultilevel"/>
    <w:tmpl w:val="4A2E3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B767E0"/>
    <w:multiLevelType w:val="hybridMultilevel"/>
    <w:tmpl w:val="45B23056"/>
    <w:lvl w:ilvl="0" w:tplc="1F22E3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444CA5"/>
    <w:multiLevelType w:val="hybridMultilevel"/>
    <w:tmpl w:val="539AB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2E12A25"/>
    <w:multiLevelType w:val="hybridMultilevel"/>
    <w:tmpl w:val="F2D6BD70"/>
    <w:lvl w:ilvl="0" w:tplc="76B8038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49749B"/>
    <w:multiLevelType w:val="hybridMultilevel"/>
    <w:tmpl w:val="561E4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1731E6"/>
    <w:multiLevelType w:val="hybridMultilevel"/>
    <w:tmpl w:val="FEDAAF90"/>
    <w:lvl w:ilvl="0" w:tplc="09D47A46">
      <w:start w:val="4"/>
      <w:numFmt w:val="decimal"/>
      <w:lvlText w:val="5.%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1B7A08"/>
    <w:multiLevelType w:val="hybridMultilevel"/>
    <w:tmpl w:val="8C1C95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DEE11DF"/>
    <w:multiLevelType w:val="hybridMultilevel"/>
    <w:tmpl w:val="2736A8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CD4F07"/>
    <w:multiLevelType w:val="hybridMultilevel"/>
    <w:tmpl w:val="D108A3D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5395ECE"/>
    <w:multiLevelType w:val="hybridMultilevel"/>
    <w:tmpl w:val="95403D7E"/>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15:restartNumberingAfterBreak="0">
    <w:nsid w:val="4F61794A"/>
    <w:multiLevelType w:val="hybridMultilevel"/>
    <w:tmpl w:val="D9589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827F9F"/>
    <w:multiLevelType w:val="hybridMultilevel"/>
    <w:tmpl w:val="8D4AE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481EA4"/>
    <w:multiLevelType w:val="hybridMultilevel"/>
    <w:tmpl w:val="FBC8BFDE"/>
    <w:lvl w:ilvl="0" w:tplc="56EAD15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0AE7634"/>
    <w:multiLevelType w:val="hybridMultilevel"/>
    <w:tmpl w:val="E70C5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DF3294"/>
    <w:multiLevelType w:val="hybridMultilevel"/>
    <w:tmpl w:val="3126DC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55A13BD"/>
    <w:multiLevelType w:val="hybridMultilevel"/>
    <w:tmpl w:val="DD3A8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1D25B0"/>
    <w:multiLevelType w:val="hybridMultilevel"/>
    <w:tmpl w:val="117281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B96791"/>
    <w:multiLevelType w:val="hybridMultilevel"/>
    <w:tmpl w:val="127C5C4E"/>
    <w:lvl w:ilvl="0" w:tplc="76B8038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C3000D"/>
    <w:multiLevelType w:val="hybridMultilevel"/>
    <w:tmpl w:val="567C2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E443E3"/>
    <w:multiLevelType w:val="hybridMultilevel"/>
    <w:tmpl w:val="514AD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4B75022"/>
    <w:multiLevelType w:val="hybridMultilevel"/>
    <w:tmpl w:val="E9A2AD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ACE7B31"/>
    <w:multiLevelType w:val="hybridMultilevel"/>
    <w:tmpl w:val="8E888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B374522"/>
    <w:multiLevelType w:val="hybridMultilevel"/>
    <w:tmpl w:val="97ECD146"/>
    <w:lvl w:ilvl="0" w:tplc="F27AE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D1C6E3F"/>
    <w:multiLevelType w:val="hybridMultilevel"/>
    <w:tmpl w:val="52587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F721589"/>
    <w:multiLevelType w:val="hybridMultilevel"/>
    <w:tmpl w:val="BBF2A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2"/>
  </w:num>
  <w:num w:numId="4">
    <w:abstractNumId w:val="34"/>
  </w:num>
  <w:num w:numId="5">
    <w:abstractNumId w:val="29"/>
  </w:num>
  <w:num w:numId="6">
    <w:abstractNumId w:val="33"/>
  </w:num>
  <w:num w:numId="7">
    <w:abstractNumId w:val="5"/>
  </w:num>
  <w:num w:numId="8">
    <w:abstractNumId w:val="6"/>
  </w:num>
  <w:num w:numId="9">
    <w:abstractNumId w:val="0"/>
  </w:num>
  <w:num w:numId="10">
    <w:abstractNumId w:val="4"/>
  </w:num>
  <w:num w:numId="11">
    <w:abstractNumId w:val="20"/>
  </w:num>
  <w:num w:numId="12">
    <w:abstractNumId w:val="28"/>
  </w:num>
  <w:num w:numId="13">
    <w:abstractNumId w:val="24"/>
  </w:num>
  <w:num w:numId="14">
    <w:abstractNumId w:val="25"/>
  </w:num>
  <w:num w:numId="15">
    <w:abstractNumId w:val="9"/>
  </w:num>
  <w:num w:numId="16">
    <w:abstractNumId w:val="16"/>
  </w:num>
  <w:num w:numId="17">
    <w:abstractNumId w:val="17"/>
  </w:num>
  <w:num w:numId="18">
    <w:abstractNumId w:val="8"/>
  </w:num>
  <w:num w:numId="19">
    <w:abstractNumId w:val="2"/>
  </w:num>
  <w:num w:numId="20">
    <w:abstractNumId w:val="22"/>
  </w:num>
  <w:num w:numId="21">
    <w:abstractNumId w:val="27"/>
  </w:num>
  <w:num w:numId="22">
    <w:abstractNumId w:val="13"/>
  </w:num>
  <w:num w:numId="23">
    <w:abstractNumId w:val="1"/>
  </w:num>
  <w:num w:numId="24">
    <w:abstractNumId w:val="11"/>
  </w:num>
  <w:num w:numId="25">
    <w:abstractNumId w:val="3"/>
  </w:num>
  <w:num w:numId="26">
    <w:abstractNumId w:val="21"/>
  </w:num>
  <w:num w:numId="27">
    <w:abstractNumId w:val="19"/>
  </w:num>
  <w:num w:numId="28">
    <w:abstractNumId w:val="18"/>
  </w:num>
  <w:num w:numId="29">
    <w:abstractNumId w:val="7"/>
  </w:num>
  <w:num w:numId="30">
    <w:abstractNumId w:val="31"/>
  </w:num>
  <w:num w:numId="31">
    <w:abstractNumId w:val="15"/>
  </w:num>
  <w:num w:numId="32">
    <w:abstractNumId w:val="14"/>
  </w:num>
  <w:num w:numId="33">
    <w:abstractNumId w:val="32"/>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8D"/>
    <w:rsid w:val="00000D0E"/>
    <w:rsid w:val="0000210A"/>
    <w:rsid w:val="00004285"/>
    <w:rsid w:val="00007F01"/>
    <w:rsid w:val="00016F03"/>
    <w:rsid w:val="00021D47"/>
    <w:rsid w:val="0002333E"/>
    <w:rsid w:val="00023386"/>
    <w:rsid w:val="000235F5"/>
    <w:rsid w:val="000239AD"/>
    <w:rsid w:val="000258F8"/>
    <w:rsid w:val="00027FF3"/>
    <w:rsid w:val="00031EF6"/>
    <w:rsid w:val="00033120"/>
    <w:rsid w:val="000332DF"/>
    <w:rsid w:val="0003442E"/>
    <w:rsid w:val="000350CF"/>
    <w:rsid w:val="000355DE"/>
    <w:rsid w:val="00040B11"/>
    <w:rsid w:val="0004126F"/>
    <w:rsid w:val="0004133D"/>
    <w:rsid w:val="0004204E"/>
    <w:rsid w:val="00042C23"/>
    <w:rsid w:val="00042ED7"/>
    <w:rsid w:val="00043858"/>
    <w:rsid w:val="00044244"/>
    <w:rsid w:val="000475F0"/>
    <w:rsid w:val="000505BE"/>
    <w:rsid w:val="000506D1"/>
    <w:rsid w:val="000525F8"/>
    <w:rsid w:val="000556E6"/>
    <w:rsid w:val="000569E1"/>
    <w:rsid w:val="000575DC"/>
    <w:rsid w:val="00060074"/>
    <w:rsid w:val="00061148"/>
    <w:rsid w:val="0006200D"/>
    <w:rsid w:val="00062ACF"/>
    <w:rsid w:val="00066F48"/>
    <w:rsid w:val="00075716"/>
    <w:rsid w:val="000760FE"/>
    <w:rsid w:val="0007740D"/>
    <w:rsid w:val="0008170F"/>
    <w:rsid w:val="00084464"/>
    <w:rsid w:val="000853AB"/>
    <w:rsid w:val="00086374"/>
    <w:rsid w:val="000865B7"/>
    <w:rsid w:val="000920E3"/>
    <w:rsid w:val="00097016"/>
    <w:rsid w:val="000973E9"/>
    <w:rsid w:val="000A07DA"/>
    <w:rsid w:val="000A1F30"/>
    <w:rsid w:val="000B5A64"/>
    <w:rsid w:val="000B5DE2"/>
    <w:rsid w:val="000C1B20"/>
    <w:rsid w:val="000C493D"/>
    <w:rsid w:val="000C4BE0"/>
    <w:rsid w:val="000D0A5E"/>
    <w:rsid w:val="000D372B"/>
    <w:rsid w:val="000D3792"/>
    <w:rsid w:val="000D7B7A"/>
    <w:rsid w:val="000E0635"/>
    <w:rsid w:val="000E37AA"/>
    <w:rsid w:val="000E4D22"/>
    <w:rsid w:val="000E5AF2"/>
    <w:rsid w:val="000E5C43"/>
    <w:rsid w:val="000E7600"/>
    <w:rsid w:val="000F340A"/>
    <w:rsid w:val="000F5186"/>
    <w:rsid w:val="000F6065"/>
    <w:rsid w:val="00104406"/>
    <w:rsid w:val="001054BC"/>
    <w:rsid w:val="00105C01"/>
    <w:rsid w:val="00110472"/>
    <w:rsid w:val="001123DB"/>
    <w:rsid w:val="00112D4F"/>
    <w:rsid w:val="00113B6D"/>
    <w:rsid w:val="00115846"/>
    <w:rsid w:val="00116277"/>
    <w:rsid w:val="00116EEB"/>
    <w:rsid w:val="001201DB"/>
    <w:rsid w:val="001202BE"/>
    <w:rsid w:val="00123EC7"/>
    <w:rsid w:val="00124152"/>
    <w:rsid w:val="00124996"/>
    <w:rsid w:val="00125A0E"/>
    <w:rsid w:val="0012672F"/>
    <w:rsid w:val="00126FCF"/>
    <w:rsid w:val="00127D03"/>
    <w:rsid w:val="001309D5"/>
    <w:rsid w:val="0013102A"/>
    <w:rsid w:val="00133F71"/>
    <w:rsid w:val="00136C55"/>
    <w:rsid w:val="00136FD7"/>
    <w:rsid w:val="00137CF0"/>
    <w:rsid w:val="001400A8"/>
    <w:rsid w:val="00140D66"/>
    <w:rsid w:val="00142A62"/>
    <w:rsid w:val="00143873"/>
    <w:rsid w:val="00143B27"/>
    <w:rsid w:val="00151238"/>
    <w:rsid w:val="00153893"/>
    <w:rsid w:val="00153F87"/>
    <w:rsid w:val="0016263B"/>
    <w:rsid w:val="00163988"/>
    <w:rsid w:val="00163D13"/>
    <w:rsid w:val="00164F0A"/>
    <w:rsid w:val="00165B4B"/>
    <w:rsid w:val="001663F9"/>
    <w:rsid w:val="00167A3B"/>
    <w:rsid w:val="00172B07"/>
    <w:rsid w:val="00172B39"/>
    <w:rsid w:val="001751CB"/>
    <w:rsid w:val="00175A0E"/>
    <w:rsid w:val="00185441"/>
    <w:rsid w:val="0019031A"/>
    <w:rsid w:val="001932A9"/>
    <w:rsid w:val="001954CE"/>
    <w:rsid w:val="001A1833"/>
    <w:rsid w:val="001A197B"/>
    <w:rsid w:val="001A392D"/>
    <w:rsid w:val="001A70F1"/>
    <w:rsid w:val="001B43A4"/>
    <w:rsid w:val="001B7449"/>
    <w:rsid w:val="001B7DB7"/>
    <w:rsid w:val="001C0106"/>
    <w:rsid w:val="001C04BC"/>
    <w:rsid w:val="001C307A"/>
    <w:rsid w:val="001C683E"/>
    <w:rsid w:val="001D0344"/>
    <w:rsid w:val="001D69F1"/>
    <w:rsid w:val="001D7392"/>
    <w:rsid w:val="001D7B0F"/>
    <w:rsid w:val="001E25FE"/>
    <w:rsid w:val="001E4B9F"/>
    <w:rsid w:val="001E51BC"/>
    <w:rsid w:val="001E7574"/>
    <w:rsid w:val="001F2B43"/>
    <w:rsid w:val="001F3D24"/>
    <w:rsid w:val="001F46D1"/>
    <w:rsid w:val="001F6BA9"/>
    <w:rsid w:val="002036A1"/>
    <w:rsid w:val="00204E77"/>
    <w:rsid w:val="002057A3"/>
    <w:rsid w:val="002107E5"/>
    <w:rsid w:val="002126C1"/>
    <w:rsid w:val="002162F7"/>
    <w:rsid w:val="00223494"/>
    <w:rsid w:val="0022708D"/>
    <w:rsid w:val="00227102"/>
    <w:rsid w:val="0023598F"/>
    <w:rsid w:val="00237A0B"/>
    <w:rsid w:val="0024233C"/>
    <w:rsid w:val="00243459"/>
    <w:rsid w:val="00244AC0"/>
    <w:rsid w:val="00246356"/>
    <w:rsid w:val="002465F8"/>
    <w:rsid w:val="002473CC"/>
    <w:rsid w:val="002518C6"/>
    <w:rsid w:val="0025199F"/>
    <w:rsid w:val="00252580"/>
    <w:rsid w:val="00255864"/>
    <w:rsid w:val="00256360"/>
    <w:rsid w:val="00257011"/>
    <w:rsid w:val="0026150B"/>
    <w:rsid w:val="00262364"/>
    <w:rsid w:val="00262EAB"/>
    <w:rsid w:val="002652BE"/>
    <w:rsid w:val="00266320"/>
    <w:rsid w:val="00271381"/>
    <w:rsid w:val="002745E4"/>
    <w:rsid w:val="00275465"/>
    <w:rsid w:val="00275978"/>
    <w:rsid w:val="0027661B"/>
    <w:rsid w:val="00276B3E"/>
    <w:rsid w:val="00287194"/>
    <w:rsid w:val="002909ED"/>
    <w:rsid w:val="00293C4F"/>
    <w:rsid w:val="0029634A"/>
    <w:rsid w:val="002A1881"/>
    <w:rsid w:val="002A1E91"/>
    <w:rsid w:val="002A2F34"/>
    <w:rsid w:val="002A44CD"/>
    <w:rsid w:val="002A6815"/>
    <w:rsid w:val="002B2D66"/>
    <w:rsid w:val="002B51CC"/>
    <w:rsid w:val="002B5BF4"/>
    <w:rsid w:val="002C7325"/>
    <w:rsid w:val="002D0F60"/>
    <w:rsid w:val="002D1BBF"/>
    <w:rsid w:val="002E0A23"/>
    <w:rsid w:val="002E6FD9"/>
    <w:rsid w:val="002E7DF3"/>
    <w:rsid w:val="002F2083"/>
    <w:rsid w:val="002F2797"/>
    <w:rsid w:val="002F288F"/>
    <w:rsid w:val="002F3EC7"/>
    <w:rsid w:val="002F46C7"/>
    <w:rsid w:val="002F4DD2"/>
    <w:rsid w:val="002F738E"/>
    <w:rsid w:val="00301D5C"/>
    <w:rsid w:val="003100B5"/>
    <w:rsid w:val="0031100D"/>
    <w:rsid w:val="0031156E"/>
    <w:rsid w:val="00311876"/>
    <w:rsid w:val="00320E97"/>
    <w:rsid w:val="00321A81"/>
    <w:rsid w:val="0032710F"/>
    <w:rsid w:val="003273A4"/>
    <w:rsid w:val="00330CF9"/>
    <w:rsid w:val="00332B01"/>
    <w:rsid w:val="00335365"/>
    <w:rsid w:val="00336720"/>
    <w:rsid w:val="00336E89"/>
    <w:rsid w:val="00336FA2"/>
    <w:rsid w:val="00340D79"/>
    <w:rsid w:val="0034419A"/>
    <w:rsid w:val="0034497C"/>
    <w:rsid w:val="00344D2C"/>
    <w:rsid w:val="003520ED"/>
    <w:rsid w:val="00353318"/>
    <w:rsid w:val="00353A83"/>
    <w:rsid w:val="0035508E"/>
    <w:rsid w:val="00355A8D"/>
    <w:rsid w:val="00356969"/>
    <w:rsid w:val="003578C5"/>
    <w:rsid w:val="00360411"/>
    <w:rsid w:val="00360D41"/>
    <w:rsid w:val="0036151B"/>
    <w:rsid w:val="00362B67"/>
    <w:rsid w:val="00366101"/>
    <w:rsid w:val="00366F98"/>
    <w:rsid w:val="00367785"/>
    <w:rsid w:val="00370889"/>
    <w:rsid w:val="003719A2"/>
    <w:rsid w:val="0037413E"/>
    <w:rsid w:val="00374BA4"/>
    <w:rsid w:val="00376825"/>
    <w:rsid w:val="00381412"/>
    <w:rsid w:val="003843FD"/>
    <w:rsid w:val="00385C03"/>
    <w:rsid w:val="003874E1"/>
    <w:rsid w:val="003907A8"/>
    <w:rsid w:val="003929E4"/>
    <w:rsid w:val="0039345F"/>
    <w:rsid w:val="00395139"/>
    <w:rsid w:val="0039552E"/>
    <w:rsid w:val="00395F55"/>
    <w:rsid w:val="003A18B8"/>
    <w:rsid w:val="003A3843"/>
    <w:rsid w:val="003A3948"/>
    <w:rsid w:val="003A4A80"/>
    <w:rsid w:val="003A4EB3"/>
    <w:rsid w:val="003A6B64"/>
    <w:rsid w:val="003A7A09"/>
    <w:rsid w:val="003B0612"/>
    <w:rsid w:val="003B3065"/>
    <w:rsid w:val="003B35C3"/>
    <w:rsid w:val="003B3C5C"/>
    <w:rsid w:val="003B4771"/>
    <w:rsid w:val="003B4F1B"/>
    <w:rsid w:val="003B5AF1"/>
    <w:rsid w:val="003C02D1"/>
    <w:rsid w:val="003C0D65"/>
    <w:rsid w:val="003C1332"/>
    <w:rsid w:val="003C69F6"/>
    <w:rsid w:val="003D1AB7"/>
    <w:rsid w:val="003D1D82"/>
    <w:rsid w:val="003D77F8"/>
    <w:rsid w:val="003E3444"/>
    <w:rsid w:val="003E6154"/>
    <w:rsid w:val="003F0CB6"/>
    <w:rsid w:val="003F233B"/>
    <w:rsid w:val="003F6BB3"/>
    <w:rsid w:val="003F72A3"/>
    <w:rsid w:val="00400130"/>
    <w:rsid w:val="0040272B"/>
    <w:rsid w:val="0040288E"/>
    <w:rsid w:val="004031FD"/>
    <w:rsid w:val="00404730"/>
    <w:rsid w:val="004103E7"/>
    <w:rsid w:val="00410BFA"/>
    <w:rsid w:val="00414B4B"/>
    <w:rsid w:val="0041623A"/>
    <w:rsid w:val="00416489"/>
    <w:rsid w:val="00424BA1"/>
    <w:rsid w:val="00424DAB"/>
    <w:rsid w:val="00426417"/>
    <w:rsid w:val="00442393"/>
    <w:rsid w:val="004435E5"/>
    <w:rsid w:val="0044622A"/>
    <w:rsid w:val="00447928"/>
    <w:rsid w:val="00447C42"/>
    <w:rsid w:val="00450D2C"/>
    <w:rsid w:val="00451A38"/>
    <w:rsid w:val="00451B83"/>
    <w:rsid w:val="00453557"/>
    <w:rsid w:val="00460E21"/>
    <w:rsid w:val="00464007"/>
    <w:rsid w:val="00464FC7"/>
    <w:rsid w:val="004671A8"/>
    <w:rsid w:val="00467A0C"/>
    <w:rsid w:val="00470D49"/>
    <w:rsid w:val="00474238"/>
    <w:rsid w:val="00474F13"/>
    <w:rsid w:val="00480D5B"/>
    <w:rsid w:val="00482E87"/>
    <w:rsid w:val="004835F9"/>
    <w:rsid w:val="00483733"/>
    <w:rsid w:val="00484591"/>
    <w:rsid w:val="00485057"/>
    <w:rsid w:val="004851D7"/>
    <w:rsid w:val="00485284"/>
    <w:rsid w:val="00485EA4"/>
    <w:rsid w:val="004943B0"/>
    <w:rsid w:val="0049633A"/>
    <w:rsid w:val="004A0B4F"/>
    <w:rsid w:val="004A0CEB"/>
    <w:rsid w:val="004A5B40"/>
    <w:rsid w:val="004B0609"/>
    <w:rsid w:val="004B2920"/>
    <w:rsid w:val="004B2A4F"/>
    <w:rsid w:val="004B40AE"/>
    <w:rsid w:val="004B5BFB"/>
    <w:rsid w:val="004B6342"/>
    <w:rsid w:val="004C2994"/>
    <w:rsid w:val="004C36EB"/>
    <w:rsid w:val="004C4FD3"/>
    <w:rsid w:val="004D10A0"/>
    <w:rsid w:val="004D364A"/>
    <w:rsid w:val="004D62F4"/>
    <w:rsid w:val="004D766D"/>
    <w:rsid w:val="004E2D36"/>
    <w:rsid w:val="004E6661"/>
    <w:rsid w:val="004E6AE0"/>
    <w:rsid w:val="004E6B7A"/>
    <w:rsid w:val="004F049D"/>
    <w:rsid w:val="004F5EB1"/>
    <w:rsid w:val="004F62B8"/>
    <w:rsid w:val="004F69CB"/>
    <w:rsid w:val="004F7437"/>
    <w:rsid w:val="005029A8"/>
    <w:rsid w:val="00502D2B"/>
    <w:rsid w:val="00504A0A"/>
    <w:rsid w:val="005111B6"/>
    <w:rsid w:val="005161A6"/>
    <w:rsid w:val="00520CF2"/>
    <w:rsid w:val="005230C2"/>
    <w:rsid w:val="00524804"/>
    <w:rsid w:val="00534E71"/>
    <w:rsid w:val="00535D33"/>
    <w:rsid w:val="00536820"/>
    <w:rsid w:val="00536F6D"/>
    <w:rsid w:val="005373D6"/>
    <w:rsid w:val="00540A59"/>
    <w:rsid w:val="0054368F"/>
    <w:rsid w:val="0054376D"/>
    <w:rsid w:val="005469A7"/>
    <w:rsid w:val="0054752A"/>
    <w:rsid w:val="00550669"/>
    <w:rsid w:val="00551321"/>
    <w:rsid w:val="005527F9"/>
    <w:rsid w:val="0055321A"/>
    <w:rsid w:val="0055537E"/>
    <w:rsid w:val="00557369"/>
    <w:rsid w:val="005600A2"/>
    <w:rsid w:val="0056689F"/>
    <w:rsid w:val="005724A8"/>
    <w:rsid w:val="00581AF0"/>
    <w:rsid w:val="005851C2"/>
    <w:rsid w:val="00586FBB"/>
    <w:rsid w:val="0059210B"/>
    <w:rsid w:val="005928E9"/>
    <w:rsid w:val="00593AED"/>
    <w:rsid w:val="00596F4F"/>
    <w:rsid w:val="005A3CB0"/>
    <w:rsid w:val="005A42B8"/>
    <w:rsid w:val="005A4D1F"/>
    <w:rsid w:val="005A5198"/>
    <w:rsid w:val="005A5E21"/>
    <w:rsid w:val="005A671B"/>
    <w:rsid w:val="005B315E"/>
    <w:rsid w:val="005B5982"/>
    <w:rsid w:val="005C0415"/>
    <w:rsid w:val="005C4EDD"/>
    <w:rsid w:val="005C5C42"/>
    <w:rsid w:val="005C5DB9"/>
    <w:rsid w:val="005C6026"/>
    <w:rsid w:val="005D21A3"/>
    <w:rsid w:val="005D26C4"/>
    <w:rsid w:val="005D27AE"/>
    <w:rsid w:val="005D2B41"/>
    <w:rsid w:val="005D2E41"/>
    <w:rsid w:val="005D489D"/>
    <w:rsid w:val="005D4C7E"/>
    <w:rsid w:val="005D5C20"/>
    <w:rsid w:val="005D60B7"/>
    <w:rsid w:val="005E10B2"/>
    <w:rsid w:val="005E2570"/>
    <w:rsid w:val="005E5F31"/>
    <w:rsid w:val="005F404E"/>
    <w:rsid w:val="005F50EB"/>
    <w:rsid w:val="00600321"/>
    <w:rsid w:val="0060304C"/>
    <w:rsid w:val="00606E08"/>
    <w:rsid w:val="0060708C"/>
    <w:rsid w:val="00607FBC"/>
    <w:rsid w:val="00611CFA"/>
    <w:rsid w:val="00615A19"/>
    <w:rsid w:val="006211C3"/>
    <w:rsid w:val="006226C9"/>
    <w:rsid w:val="006242AC"/>
    <w:rsid w:val="0062767E"/>
    <w:rsid w:val="006346E7"/>
    <w:rsid w:val="00637B89"/>
    <w:rsid w:val="00640CB0"/>
    <w:rsid w:val="0064264F"/>
    <w:rsid w:val="00647F77"/>
    <w:rsid w:val="00655850"/>
    <w:rsid w:val="00655E03"/>
    <w:rsid w:val="00655FEA"/>
    <w:rsid w:val="006565B9"/>
    <w:rsid w:val="006575C7"/>
    <w:rsid w:val="00661396"/>
    <w:rsid w:val="00662166"/>
    <w:rsid w:val="006643F1"/>
    <w:rsid w:val="00666DFA"/>
    <w:rsid w:val="00670585"/>
    <w:rsid w:val="00673738"/>
    <w:rsid w:val="006764B8"/>
    <w:rsid w:val="00676EC4"/>
    <w:rsid w:val="006856F7"/>
    <w:rsid w:val="00685F17"/>
    <w:rsid w:val="00685F72"/>
    <w:rsid w:val="00693A5C"/>
    <w:rsid w:val="00693F5E"/>
    <w:rsid w:val="006972D6"/>
    <w:rsid w:val="006972FB"/>
    <w:rsid w:val="006A0283"/>
    <w:rsid w:val="006A075A"/>
    <w:rsid w:val="006B19EB"/>
    <w:rsid w:val="006B6F53"/>
    <w:rsid w:val="006B730C"/>
    <w:rsid w:val="006C58DE"/>
    <w:rsid w:val="006D24A6"/>
    <w:rsid w:val="006D303C"/>
    <w:rsid w:val="006E15DD"/>
    <w:rsid w:val="006E2123"/>
    <w:rsid w:val="006E3E41"/>
    <w:rsid w:val="006E721A"/>
    <w:rsid w:val="006E79F9"/>
    <w:rsid w:val="006E7B07"/>
    <w:rsid w:val="006F01AD"/>
    <w:rsid w:val="006F175B"/>
    <w:rsid w:val="006F412F"/>
    <w:rsid w:val="006F4C6F"/>
    <w:rsid w:val="006F7E72"/>
    <w:rsid w:val="00701AE0"/>
    <w:rsid w:val="00703120"/>
    <w:rsid w:val="00705EC6"/>
    <w:rsid w:val="00706499"/>
    <w:rsid w:val="00706E74"/>
    <w:rsid w:val="00710131"/>
    <w:rsid w:val="0071026C"/>
    <w:rsid w:val="00711CFA"/>
    <w:rsid w:val="00711DF1"/>
    <w:rsid w:val="00712F3C"/>
    <w:rsid w:val="00713B56"/>
    <w:rsid w:val="00714FDA"/>
    <w:rsid w:val="00715287"/>
    <w:rsid w:val="00715789"/>
    <w:rsid w:val="007175F8"/>
    <w:rsid w:val="0072443C"/>
    <w:rsid w:val="0073169A"/>
    <w:rsid w:val="00732CDA"/>
    <w:rsid w:val="00733382"/>
    <w:rsid w:val="007343BA"/>
    <w:rsid w:val="0073610F"/>
    <w:rsid w:val="00737863"/>
    <w:rsid w:val="0074047F"/>
    <w:rsid w:val="00751078"/>
    <w:rsid w:val="00753EBB"/>
    <w:rsid w:val="00755C41"/>
    <w:rsid w:val="00755DB9"/>
    <w:rsid w:val="00756E61"/>
    <w:rsid w:val="007576EC"/>
    <w:rsid w:val="007616D2"/>
    <w:rsid w:val="00764805"/>
    <w:rsid w:val="00767098"/>
    <w:rsid w:val="00771462"/>
    <w:rsid w:val="0077217E"/>
    <w:rsid w:val="00773665"/>
    <w:rsid w:val="007779C2"/>
    <w:rsid w:val="00780D01"/>
    <w:rsid w:val="00781644"/>
    <w:rsid w:val="00781A79"/>
    <w:rsid w:val="00787F8C"/>
    <w:rsid w:val="00795610"/>
    <w:rsid w:val="00796F40"/>
    <w:rsid w:val="007A1F84"/>
    <w:rsid w:val="007A2185"/>
    <w:rsid w:val="007A4674"/>
    <w:rsid w:val="007A55C4"/>
    <w:rsid w:val="007A5AEA"/>
    <w:rsid w:val="007B1728"/>
    <w:rsid w:val="007B3AD9"/>
    <w:rsid w:val="007B4B7B"/>
    <w:rsid w:val="007B4FEF"/>
    <w:rsid w:val="007B6DFB"/>
    <w:rsid w:val="007B7F75"/>
    <w:rsid w:val="007C4062"/>
    <w:rsid w:val="007C49C5"/>
    <w:rsid w:val="007C4FC9"/>
    <w:rsid w:val="007C7107"/>
    <w:rsid w:val="007D0E54"/>
    <w:rsid w:val="007D15AA"/>
    <w:rsid w:val="007D29FB"/>
    <w:rsid w:val="007D7ECA"/>
    <w:rsid w:val="007E0C92"/>
    <w:rsid w:val="007E42F7"/>
    <w:rsid w:val="007E4AD0"/>
    <w:rsid w:val="007E6B9F"/>
    <w:rsid w:val="007E7692"/>
    <w:rsid w:val="007E7E30"/>
    <w:rsid w:val="007F0445"/>
    <w:rsid w:val="007F100F"/>
    <w:rsid w:val="007F76F9"/>
    <w:rsid w:val="007F7C31"/>
    <w:rsid w:val="008002D0"/>
    <w:rsid w:val="008056C0"/>
    <w:rsid w:val="0080672C"/>
    <w:rsid w:val="008067D2"/>
    <w:rsid w:val="00807B2F"/>
    <w:rsid w:val="0081178A"/>
    <w:rsid w:val="00812AF8"/>
    <w:rsid w:val="00813317"/>
    <w:rsid w:val="008147DC"/>
    <w:rsid w:val="0081789E"/>
    <w:rsid w:val="00817E01"/>
    <w:rsid w:val="008234C5"/>
    <w:rsid w:val="00823952"/>
    <w:rsid w:val="00824F95"/>
    <w:rsid w:val="00825CF7"/>
    <w:rsid w:val="00832252"/>
    <w:rsid w:val="00832C59"/>
    <w:rsid w:val="00840A25"/>
    <w:rsid w:val="00840F2A"/>
    <w:rsid w:val="00844723"/>
    <w:rsid w:val="00846F7F"/>
    <w:rsid w:val="00850575"/>
    <w:rsid w:val="008506F4"/>
    <w:rsid w:val="008540B8"/>
    <w:rsid w:val="00855895"/>
    <w:rsid w:val="008620D4"/>
    <w:rsid w:val="0086269E"/>
    <w:rsid w:val="00864E92"/>
    <w:rsid w:val="00873265"/>
    <w:rsid w:val="00876C27"/>
    <w:rsid w:val="00884693"/>
    <w:rsid w:val="008873F1"/>
    <w:rsid w:val="008942E0"/>
    <w:rsid w:val="008A1730"/>
    <w:rsid w:val="008A1859"/>
    <w:rsid w:val="008A30CC"/>
    <w:rsid w:val="008A3AD5"/>
    <w:rsid w:val="008A3E9C"/>
    <w:rsid w:val="008A48C8"/>
    <w:rsid w:val="008A57D9"/>
    <w:rsid w:val="008B2D60"/>
    <w:rsid w:val="008B3093"/>
    <w:rsid w:val="008B6AC3"/>
    <w:rsid w:val="008B75C7"/>
    <w:rsid w:val="008C10E0"/>
    <w:rsid w:val="008C1683"/>
    <w:rsid w:val="008C2A2D"/>
    <w:rsid w:val="008C39DE"/>
    <w:rsid w:val="008D181D"/>
    <w:rsid w:val="008D1C19"/>
    <w:rsid w:val="008D2809"/>
    <w:rsid w:val="008D5C02"/>
    <w:rsid w:val="008E0CA8"/>
    <w:rsid w:val="008E2522"/>
    <w:rsid w:val="008E518B"/>
    <w:rsid w:val="008F148B"/>
    <w:rsid w:val="008F70B9"/>
    <w:rsid w:val="008F73FA"/>
    <w:rsid w:val="00901158"/>
    <w:rsid w:val="00901177"/>
    <w:rsid w:val="00902945"/>
    <w:rsid w:val="0090344C"/>
    <w:rsid w:val="009076ED"/>
    <w:rsid w:val="00910506"/>
    <w:rsid w:val="009106D9"/>
    <w:rsid w:val="009132DF"/>
    <w:rsid w:val="00922691"/>
    <w:rsid w:val="0092369B"/>
    <w:rsid w:val="00925675"/>
    <w:rsid w:val="009306DD"/>
    <w:rsid w:val="0093579A"/>
    <w:rsid w:val="0093657C"/>
    <w:rsid w:val="00941005"/>
    <w:rsid w:val="00941552"/>
    <w:rsid w:val="009443FF"/>
    <w:rsid w:val="00944C4B"/>
    <w:rsid w:val="00946726"/>
    <w:rsid w:val="00963943"/>
    <w:rsid w:val="009639FB"/>
    <w:rsid w:val="009651C8"/>
    <w:rsid w:val="00965B47"/>
    <w:rsid w:val="00966550"/>
    <w:rsid w:val="00967964"/>
    <w:rsid w:val="00967B76"/>
    <w:rsid w:val="009710B5"/>
    <w:rsid w:val="00973456"/>
    <w:rsid w:val="00974012"/>
    <w:rsid w:val="00981941"/>
    <w:rsid w:val="00984B99"/>
    <w:rsid w:val="0099221C"/>
    <w:rsid w:val="00992BDF"/>
    <w:rsid w:val="00995186"/>
    <w:rsid w:val="00997F7A"/>
    <w:rsid w:val="009A0530"/>
    <w:rsid w:val="009A2948"/>
    <w:rsid w:val="009A4122"/>
    <w:rsid w:val="009A4206"/>
    <w:rsid w:val="009B0B95"/>
    <w:rsid w:val="009B3EBC"/>
    <w:rsid w:val="009B40F3"/>
    <w:rsid w:val="009B6655"/>
    <w:rsid w:val="009C1634"/>
    <w:rsid w:val="009C2D31"/>
    <w:rsid w:val="009C7D57"/>
    <w:rsid w:val="009D0337"/>
    <w:rsid w:val="009D2BDD"/>
    <w:rsid w:val="009D793E"/>
    <w:rsid w:val="009D7C14"/>
    <w:rsid w:val="009E09AC"/>
    <w:rsid w:val="009E1887"/>
    <w:rsid w:val="009E25A3"/>
    <w:rsid w:val="009E3249"/>
    <w:rsid w:val="009E3700"/>
    <w:rsid w:val="009E7FA9"/>
    <w:rsid w:val="009F234C"/>
    <w:rsid w:val="009F31BE"/>
    <w:rsid w:val="009F6B3F"/>
    <w:rsid w:val="00A011B6"/>
    <w:rsid w:val="00A02B31"/>
    <w:rsid w:val="00A03CC7"/>
    <w:rsid w:val="00A05DF8"/>
    <w:rsid w:val="00A0762D"/>
    <w:rsid w:val="00A07B2B"/>
    <w:rsid w:val="00A10C36"/>
    <w:rsid w:val="00A13102"/>
    <w:rsid w:val="00A17BDB"/>
    <w:rsid w:val="00A17C6E"/>
    <w:rsid w:val="00A17D92"/>
    <w:rsid w:val="00A20DAD"/>
    <w:rsid w:val="00A22FD7"/>
    <w:rsid w:val="00A2569C"/>
    <w:rsid w:val="00A25B59"/>
    <w:rsid w:val="00A26EF0"/>
    <w:rsid w:val="00A30312"/>
    <w:rsid w:val="00A31A94"/>
    <w:rsid w:val="00A3341E"/>
    <w:rsid w:val="00A34733"/>
    <w:rsid w:val="00A347F6"/>
    <w:rsid w:val="00A36DE3"/>
    <w:rsid w:val="00A437A2"/>
    <w:rsid w:val="00A44593"/>
    <w:rsid w:val="00A44FD9"/>
    <w:rsid w:val="00A46343"/>
    <w:rsid w:val="00A47630"/>
    <w:rsid w:val="00A502B3"/>
    <w:rsid w:val="00A50868"/>
    <w:rsid w:val="00A50BC3"/>
    <w:rsid w:val="00A600F3"/>
    <w:rsid w:val="00A60575"/>
    <w:rsid w:val="00A62CC8"/>
    <w:rsid w:val="00A656D7"/>
    <w:rsid w:val="00A722AA"/>
    <w:rsid w:val="00A778C2"/>
    <w:rsid w:val="00A81F66"/>
    <w:rsid w:val="00A82092"/>
    <w:rsid w:val="00A82AA0"/>
    <w:rsid w:val="00A853AE"/>
    <w:rsid w:val="00A86053"/>
    <w:rsid w:val="00A86A0D"/>
    <w:rsid w:val="00A873DE"/>
    <w:rsid w:val="00A87800"/>
    <w:rsid w:val="00A87CAB"/>
    <w:rsid w:val="00A93FF2"/>
    <w:rsid w:val="00A96391"/>
    <w:rsid w:val="00AB01B3"/>
    <w:rsid w:val="00AB1515"/>
    <w:rsid w:val="00AB3B35"/>
    <w:rsid w:val="00AB46E3"/>
    <w:rsid w:val="00AB5146"/>
    <w:rsid w:val="00AB5F42"/>
    <w:rsid w:val="00AB6A3C"/>
    <w:rsid w:val="00AD09CA"/>
    <w:rsid w:val="00AD0D32"/>
    <w:rsid w:val="00AD3FDF"/>
    <w:rsid w:val="00AD546F"/>
    <w:rsid w:val="00AF03A9"/>
    <w:rsid w:val="00AF0461"/>
    <w:rsid w:val="00AF1587"/>
    <w:rsid w:val="00AF193D"/>
    <w:rsid w:val="00AF1BA6"/>
    <w:rsid w:val="00AF3872"/>
    <w:rsid w:val="00AF55A2"/>
    <w:rsid w:val="00AF5BF3"/>
    <w:rsid w:val="00AF7ED3"/>
    <w:rsid w:val="00B03AC6"/>
    <w:rsid w:val="00B03DD1"/>
    <w:rsid w:val="00B05C57"/>
    <w:rsid w:val="00B1412B"/>
    <w:rsid w:val="00B148DF"/>
    <w:rsid w:val="00B21EAD"/>
    <w:rsid w:val="00B22380"/>
    <w:rsid w:val="00B25518"/>
    <w:rsid w:val="00B27B6C"/>
    <w:rsid w:val="00B30D86"/>
    <w:rsid w:val="00B314D7"/>
    <w:rsid w:val="00B31C8F"/>
    <w:rsid w:val="00B32C9A"/>
    <w:rsid w:val="00B3426D"/>
    <w:rsid w:val="00B3465E"/>
    <w:rsid w:val="00B35D23"/>
    <w:rsid w:val="00B3791E"/>
    <w:rsid w:val="00B402F1"/>
    <w:rsid w:val="00B4033C"/>
    <w:rsid w:val="00B44BA0"/>
    <w:rsid w:val="00B46192"/>
    <w:rsid w:val="00B465D6"/>
    <w:rsid w:val="00B47185"/>
    <w:rsid w:val="00B50850"/>
    <w:rsid w:val="00B54280"/>
    <w:rsid w:val="00B550CF"/>
    <w:rsid w:val="00B558E9"/>
    <w:rsid w:val="00B57CCE"/>
    <w:rsid w:val="00B601F2"/>
    <w:rsid w:val="00B60C10"/>
    <w:rsid w:val="00B63F5F"/>
    <w:rsid w:val="00B64387"/>
    <w:rsid w:val="00B67642"/>
    <w:rsid w:val="00B7055A"/>
    <w:rsid w:val="00B7230C"/>
    <w:rsid w:val="00B73DB8"/>
    <w:rsid w:val="00B74534"/>
    <w:rsid w:val="00B80772"/>
    <w:rsid w:val="00B80917"/>
    <w:rsid w:val="00B8525A"/>
    <w:rsid w:val="00B85A54"/>
    <w:rsid w:val="00B877AA"/>
    <w:rsid w:val="00B879E0"/>
    <w:rsid w:val="00B9325E"/>
    <w:rsid w:val="00B95697"/>
    <w:rsid w:val="00BA2F79"/>
    <w:rsid w:val="00BA4486"/>
    <w:rsid w:val="00BA4E60"/>
    <w:rsid w:val="00BA4FF2"/>
    <w:rsid w:val="00BA538F"/>
    <w:rsid w:val="00BA693F"/>
    <w:rsid w:val="00BA6A6D"/>
    <w:rsid w:val="00BA789B"/>
    <w:rsid w:val="00BA7ACD"/>
    <w:rsid w:val="00BB0F8B"/>
    <w:rsid w:val="00BB1F5F"/>
    <w:rsid w:val="00BB3C31"/>
    <w:rsid w:val="00BB3CAE"/>
    <w:rsid w:val="00BB4027"/>
    <w:rsid w:val="00BB56FF"/>
    <w:rsid w:val="00BC1F2D"/>
    <w:rsid w:val="00BC24B0"/>
    <w:rsid w:val="00BC3589"/>
    <w:rsid w:val="00BC60DE"/>
    <w:rsid w:val="00BD2F22"/>
    <w:rsid w:val="00BD2F2C"/>
    <w:rsid w:val="00BD5307"/>
    <w:rsid w:val="00BD6252"/>
    <w:rsid w:val="00BD75D5"/>
    <w:rsid w:val="00BE6830"/>
    <w:rsid w:val="00BE7CC0"/>
    <w:rsid w:val="00BF0B25"/>
    <w:rsid w:val="00BF23BE"/>
    <w:rsid w:val="00BF2C96"/>
    <w:rsid w:val="00BF43CD"/>
    <w:rsid w:val="00BF72DA"/>
    <w:rsid w:val="00C00432"/>
    <w:rsid w:val="00C0134C"/>
    <w:rsid w:val="00C06847"/>
    <w:rsid w:val="00C07C67"/>
    <w:rsid w:val="00C14B3E"/>
    <w:rsid w:val="00C15E3B"/>
    <w:rsid w:val="00C172AD"/>
    <w:rsid w:val="00C21771"/>
    <w:rsid w:val="00C22B96"/>
    <w:rsid w:val="00C245D3"/>
    <w:rsid w:val="00C248F0"/>
    <w:rsid w:val="00C25006"/>
    <w:rsid w:val="00C25BCB"/>
    <w:rsid w:val="00C26082"/>
    <w:rsid w:val="00C30DB7"/>
    <w:rsid w:val="00C34818"/>
    <w:rsid w:val="00C372AC"/>
    <w:rsid w:val="00C416CC"/>
    <w:rsid w:val="00C42D17"/>
    <w:rsid w:val="00C42D6D"/>
    <w:rsid w:val="00C43B3B"/>
    <w:rsid w:val="00C44C1D"/>
    <w:rsid w:val="00C46330"/>
    <w:rsid w:val="00C50007"/>
    <w:rsid w:val="00C5051D"/>
    <w:rsid w:val="00C506C6"/>
    <w:rsid w:val="00C51DBD"/>
    <w:rsid w:val="00C5560D"/>
    <w:rsid w:val="00C55F32"/>
    <w:rsid w:val="00C600E6"/>
    <w:rsid w:val="00C61094"/>
    <w:rsid w:val="00C66F1F"/>
    <w:rsid w:val="00C71FE3"/>
    <w:rsid w:val="00C7282E"/>
    <w:rsid w:val="00C73854"/>
    <w:rsid w:val="00C81E2F"/>
    <w:rsid w:val="00C81F65"/>
    <w:rsid w:val="00C83580"/>
    <w:rsid w:val="00C86783"/>
    <w:rsid w:val="00C8695C"/>
    <w:rsid w:val="00C91F49"/>
    <w:rsid w:val="00C9298A"/>
    <w:rsid w:val="00C96B6E"/>
    <w:rsid w:val="00C97025"/>
    <w:rsid w:val="00CA2CC2"/>
    <w:rsid w:val="00CB115A"/>
    <w:rsid w:val="00CB15E7"/>
    <w:rsid w:val="00CB1F36"/>
    <w:rsid w:val="00CB72C0"/>
    <w:rsid w:val="00CC1FF9"/>
    <w:rsid w:val="00CC3B86"/>
    <w:rsid w:val="00CC66B3"/>
    <w:rsid w:val="00CD4393"/>
    <w:rsid w:val="00CD5DC0"/>
    <w:rsid w:val="00CD6988"/>
    <w:rsid w:val="00CE48CD"/>
    <w:rsid w:val="00CE57F7"/>
    <w:rsid w:val="00CF1EF0"/>
    <w:rsid w:val="00CF3CC3"/>
    <w:rsid w:val="00CF415B"/>
    <w:rsid w:val="00CF7E8E"/>
    <w:rsid w:val="00D017BD"/>
    <w:rsid w:val="00D01873"/>
    <w:rsid w:val="00D019B0"/>
    <w:rsid w:val="00D02356"/>
    <w:rsid w:val="00D03163"/>
    <w:rsid w:val="00D0387D"/>
    <w:rsid w:val="00D04B6A"/>
    <w:rsid w:val="00D075A5"/>
    <w:rsid w:val="00D07F4E"/>
    <w:rsid w:val="00D10F0A"/>
    <w:rsid w:val="00D1130B"/>
    <w:rsid w:val="00D11475"/>
    <w:rsid w:val="00D151FC"/>
    <w:rsid w:val="00D152A0"/>
    <w:rsid w:val="00D155EC"/>
    <w:rsid w:val="00D17E5B"/>
    <w:rsid w:val="00D21748"/>
    <w:rsid w:val="00D218BE"/>
    <w:rsid w:val="00D223D8"/>
    <w:rsid w:val="00D242E7"/>
    <w:rsid w:val="00D249F1"/>
    <w:rsid w:val="00D32E00"/>
    <w:rsid w:val="00D32E13"/>
    <w:rsid w:val="00D33F6E"/>
    <w:rsid w:val="00D341EF"/>
    <w:rsid w:val="00D358C3"/>
    <w:rsid w:val="00D36C97"/>
    <w:rsid w:val="00D36F98"/>
    <w:rsid w:val="00D37DD8"/>
    <w:rsid w:val="00D4371A"/>
    <w:rsid w:val="00D47953"/>
    <w:rsid w:val="00D50003"/>
    <w:rsid w:val="00D51FD4"/>
    <w:rsid w:val="00D52BBA"/>
    <w:rsid w:val="00D52E47"/>
    <w:rsid w:val="00D561A8"/>
    <w:rsid w:val="00D561B7"/>
    <w:rsid w:val="00D60C85"/>
    <w:rsid w:val="00D61410"/>
    <w:rsid w:val="00D626A6"/>
    <w:rsid w:val="00D6288A"/>
    <w:rsid w:val="00D62F9C"/>
    <w:rsid w:val="00D63D57"/>
    <w:rsid w:val="00D74DE7"/>
    <w:rsid w:val="00D8118F"/>
    <w:rsid w:val="00D829C1"/>
    <w:rsid w:val="00D8741E"/>
    <w:rsid w:val="00D87E6D"/>
    <w:rsid w:val="00D9283D"/>
    <w:rsid w:val="00D928E2"/>
    <w:rsid w:val="00D92F3A"/>
    <w:rsid w:val="00D93229"/>
    <w:rsid w:val="00D949DB"/>
    <w:rsid w:val="00D94F24"/>
    <w:rsid w:val="00D977AB"/>
    <w:rsid w:val="00DA5EEF"/>
    <w:rsid w:val="00DA6904"/>
    <w:rsid w:val="00DA6A78"/>
    <w:rsid w:val="00DB119E"/>
    <w:rsid w:val="00DB7A90"/>
    <w:rsid w:val="00DC1F30"/>
    <w:rsid w:val="00DC28C1"/>
    <w:rsid w:val="00DC2DD2"/>
    <w:rsid w:val="00DC41E7"/>
    <w:rsid w:val="00DC499A"/>
    <w:rsid w:val="00DC7BE5"/>
    <w:rsid w:val="00DD4300"/>
    <w:rsid w:val="00DD701E"/>
    <w:rsid w:val="00DD7969"/>
    <w:rsid w:val="00DE114D"/>
    <w:rsid w:val="00DE1BC6"/>
    <w:rsid w:val="00DE486F"/>
    <w:rsid w:val="00DE65D0"/>
    <w:rsid w:val="00DF19B0"/>
    <w:rsid w:val="00DF2A14"/>
    <w:rsid w:val="00DF3555"/>
    <w:rsid w:val="00DF57E6"/>
    <w:rsid w:val="00E007A4"/>
    <w:rsid w:val="00E06002"/>
    <w:rsid w:val="00E129F5"/>
    <w:rsid w:val="00E12E7B"/>
    <w:rsid w:val="00E1323A"/>
    <w:rsid w:val="00E13DF5"/>
    <w:rsid w:val="00E17903"/>
    <w:rsid w:val="00E210F2"/>
    <w:rsid w:val="00E232C5"/>
    <w:rsid w:val="00E2394E"/>
    <w:rsid w:val="00E242A0"/>
    <w:rsid w:val="00E318F9"/>
    <w:rsid w:val="00E337BD"/>
    <w:rsid w:val="00E33CEB"/>
    <w:rsid w:val="00E35398"/>
    <w:rsid w:val="00E363B9"/>
    <w:rsid w:val="00E367B0"/>
    <w:rsid w:val="00E37760"/>
    <w:rsid w:val="00E415DF"/>
    <w:rsid w:val="00E42007"/>
    <w:rsid w:val="00E429EA"/>
    <w:rsid w:val="00E446DF"/>
    <w:rsid w:val="00E44964"/>
    <w:rsid w:val="00E469E2"/>
    <w:rsid w:val="00E503C5"/>
    <w:rsid w:val="00E55A1E"/>
    <w:rsid w:val="00E55D00"/>
    <w:rsid w:val="00E57694"/>
    <w:rsid w:val="00E6213C"/>
    <w:rsid w:val="00E63956"/>
    <w:rsid w:val="00E63EE9"/>
    <w:rsid w:val="00E64548"/>
    <w:rsid w:val="00E6679F"/>
    <w:rsid w:val="00E70BD4"/>
    <w:rsid w:val="00E72BF0"/>
    <w:rsid w:val="00E73314"/>
    <w:rsid w:val="00E7342A"/>
    <w:rsid w:val="00E760E8"/>
    <w:rsid w:val="00E7613D"/>
    <w:rsid w:val="00E76179"/>
    <w:rsid w:val="00E76C65"/>
    <w:rsid w:val="00E77953"/>
    <w:rsid w:val="00E81C8F"/>
    <w:rsid w:val="00E863C3"/>
    <w:rsid w:val="00E9152A"/>
    <w:rsid w:val="00E920E8"/>
    <w:rsid w:val="00E921DC"/>
    <w:rsid w:val="00E927CA"/>
    <w:rsid w:val="00E934EB"/>
    <w:rsid w:val="00E93BF9"/>
    <w:rsid w:val="00E93CB0"/>
    <w:rsid w:val="00E94165"/>
    <w:rsid w:val="00EA0F1B"/>
    <w:rsid w:val="00EA3868"/>
    <w:rsid w:val="00EA6030"/>
    <w:rsid w:val="00EB09F6"/>
    <w:rsid w:val="00EC2BB0"/>
    <w:rsid w:val="00EC51C2"/>
    <w:rsid w:val="00EC745A"/>
    <w:rsid w:val="00EC74A1"/>
    <w:rsid w:val="00EC7A0A"/>
    <w:rsid w:val="00ED0065"/>
    <w:rsid w:val="00ED07C4"/>
    <w:rsid w:val="00ED1716"/>
    <w:rsid w:val="00ED5192"/>
    <w:rsid w:val="00ED692B"/>
    <w:rsid w:val="00ED778E"/>
    <w:rsid w:val="00ED784E"/>
    <w:rsid w:val="00ED7F1B"/>
    <w:rsid w:val="00EE49AA"/>
    <w:rsid w:val="00EE66B9"/>
    <w:rsid w:val="00EF1A28"/>
    <w:rsid w:val="00EF579D"/>
    <w:rsid w:val="00EF6330"/>
    <w:rsid w:val="00F108F1"/>
    <w:rsid w:val="00F13789"/>
    <w:rsid w:val="00F16800"/>
    <w:rsid w:val="00F16AC2"/>
    <w:rsid w:val="00F16AF5"/>
    <w:rsid w:val="00F22CDC"/>
    <w:rsid w:val="00F24076"/>
    <w:rsid w:val="00F24D2C"/>
    <w:rsid w:val="00F25DBA"/>
    <w:rsid w:val="00F27303"/>
    <w:rsid w:val="00F2757B"/>
    <w:rsid w:val="00F27F1A"/>
    <w:rsid w:val="00F310CC"/>
    <w:rsid w:val="00F31332"/>
    <w:rsid w:val="00F31E98"/>
    <w:rsid w:val="00F3350F"/>
    <w:rsid w:val="00F3446D"/>
    <w:rsid w:val="00F359E3"/>
    <w:rsid w:val="00F3616C"/>
    <w:rsid w:val="00F40582"/>
    <w:rsid w:val="00F50123"/>
    <w:rsid w:val="00F50AED"/>
    <w:rsid w:val="00F51DD7"/>
    <w:rsid w:val="00F56098"/>
    <w:rsid w:val="00F56B6F"/>
    <w:rsid w:val="00F61C7A"/>
    <w:rsid w:val="00F6285E"/>
    <w:rsid w:val="00F65B49"/>
    <w:rsid w:val="00F7314A"/>
    <w:rsid w:val="00F77F90"/>
    <w:rsid w:val="00F80BFB"/>
    <w:rsid w:val="00F82605"/>
    <w:rsid w:val="00F82B6B"/>
    <w:rsid w:val="00F8556F"/>
    <w:rsid w:val="00F8567E"/>
    <w:rsid w:val="00F90F49"/>
    <w:rsid w:val="00F91499"/>
    <w:rsid w:val="00F92FE0"/>
    <w:rsid w:val="00F93E81"/>
    <w:rsid w:val="00FA006E"/>
    <w:rsid w:val="00FA0BE6"/>
    <w:rsid w:val="00FA2879"/>
    <w:rsid w:val="00FA3EBE"/>
    <w:rsid w:val="00FA52F7"/>
    <w:rsid w:val="00FA5301"/>
    <w:rsid w:val="00FA647C"/>
    <w:rsid w:val="00FB1568"/>
    <w:rsid w:val="00FB2F41"/>
    <w:rsid w:val="00FB4675"/>
    <w:rsid w:val="00FC007B"/>
    <w:rsid w:val="00FC1D3A"/>
    <w:rsid w:val="00FC2B39"/>
    <w:rsid w:val="00FC30E8"/>
    <w:rsid w:val="00FC3529"/>
    <w:rsid w:val="00FC3BF2"/>
    <w:rsid w:val="00FC48AB"/>
    <w:rsid w:val="00FC51BA"/>
    <w:rsid w:val="00FD4219"/>
    <w:rsid w:val="00FD52F3"/>
    <w:rsid w:val="00FD6E8B"/>
    <w:rsid w:val="00FD784D"/>
    <w:rsid w:val="00FE03E8"/>
    <w:rsid w:val="00FE0894"/>
    <w:rsid w:val="00FE146D"/>
    <w:rsid w:val="00FE17E3"/>
    <w:rsid w:val="00FE39BD"/>
    <w:rsid w:val="00FE4C40"/>
    <w:rsid w:val="00FE5196"/>
    <w:rsid w:val="00FE5DAC"/>
    <w:rsid w:val="00FF1A09"/>
    <w:rsid w:val="00FF28B6"/>
    <w:rsid w:val="00FF3B28"/>
    <w:rsid w:val="00FF5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0B85C"/>
  <w15:docId w15:val="{7A584FD8-C092-468E-AFC4-DBD07DA5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5A8D"/>
    <w:pPr>
      <w:ind w:left="720"/>
      <w:contextualSpacing/>
    </w:pPr>
  </w:style>
  <w:style w:type="paragraph" w:styleId="Koptekst">
    <w:name w:val="header"/>
    <w:basedOn w:val="Standaard"/>
    <w:link w:val="KoptekstChar"/>
    <w:uiPriority w:val="99"/>
    <w:unhideWhenUsed/>
    <w:rsid w:val="005E10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0B2"/>
  </w:style>
  <w:style w:type="paragraph" w:styleId="Voettekst">
    <w:name w:val="footer"/>
    <w:basedOn w:val="Standaard"/>
    <w:link w:val="VoettekstChar"/>
    <w:uiPriority w:val="99"/>
    <w:unhideWhenUsed/>
    <w:rsid w:val="005E1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0B2"/>
  </w:style>
  <w:style w:type="paragraph" w:styleId="Voetnoottekst">
    <w:name w:val="footnote text"/>
    <w:basedOn w:val="Standaard"/>
    <w:link w:val="VoetnoottekstChar"/>
    <w:uiPriority w:val="99"/>
    <w:semiHidden/>
    <w:unhideWhenUsed/>
    <w:rsid w:val="00E242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42A0"/>
    <w:rPr>
      <w:sz w:val="20"/>
      <w:szCs w:val="20"/>
    </w:rPr>
  </w:style>
  <w:style w:type="character" w:styleId="Voetnootmarkering">
    <w:name w:val="footnote reference"/>
    <w:basedOn w:val="Standaardalinea-lettertype"/>
    <w:uiPriority w:val="99"/>
    <w:semiHidden/>
    <w:unhideWhenUsed/>
    <w:rsid w:val="00E242A0"/>
    <w:rPr>
      <w:vertAlign w:val="superscript"/>
    </w:rPr>
  </w:style>
  <w:style w:type="table" w:customStyle="1" w:styleId="TableNormal1">
    <w:name w:val="Table Normal1"/>
    <w:rsid w:val="00A873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customStyle="1" w:styleId="Geen">
    <w:name w:val="Geen"/>
    <w:rsid w:val="00A873DE"/>
  </w:style>
  <w:style w:type="table" w:styleId="Tabelraster">
    <w:name w:val="Table Grid"/>
    <w:basedOn w:val="Standaardtabel"/>
    <w:uiPriority w:val="59"/>
    <w:rsid w:val="009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06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6D9"/>
    <w:rPr>
      <w:rFonts w:ascii="Tahoma" w:hAnsi="Tahoma" w:cs="Tahoma"/>
      <w:sz w:val="16"/>
      <w:szCs w:val="16"/>
    </w:rPr>
  </w:style>
  <w:style w:type="character" w:styleId="Verwijzingopmerking">
    <w:name w:val="annotation reference"/>
    <w:basedOn w:val="Standaardalinea-lettertype"/>
    <w:semiHidden/>
    <w:unhideWhenUsed/>
    <w:rsid w:val="00480D5B"/>
    <w:rPr>
      <w:sz w:val="16"/>
      <w:szCs w:val="16"/>
    </w:rPr>
  </w:style>
  <w:style w:type="paragraph" w:styleId="Tekstopmerking">
    <w:name w:val="annotation text"/>
    <w:basedOn w:val="Standaard"/>
    <w:link w:val="TekstopmerkingChar"/>
    <w:unhideWhenUsed/>
    <w:rsid w:val="00480D5B"/>
    <w:pPr>
      <w:spacing w:line="240" w:lineRule="auto"/>
    </w:pPr>
    <w:rPr>
      <w:sz w:val="20"/>
      <w:szCs w:val="20"/>
    </w:rPr>
  </w:style>
  <w:style w:type="character" w:customStyle="1" w:styleId="TekstopmerkingChar">
    <w:name w:val="Tekst opmerking Char"/>
    <w:basedOn w:val="Standaardalinea-lettertype"/>
    <w:link w:val="Tekstopmerking"/>
    <w:rsid w:val="00480D5B"/>
    <w:rPr>
      <w:sz w:val="20"/>
      <w:szCs w:val="20"/>
    </w:rPr>
  </w:style>
  <w:style w:type="paragraph" w:styleId="Onderwerpvanopmerking">
    <w:name w:val="annotation subject"/>
    <w:basedOn w:val="Tekstopmerking"/>
    <w:next w:val="Tekstopmerking"/>
    <w:link w:val="OnderwerpvanopmerkingChar"/>
    <w:uiPriority w:val="99"/>
    <w:semiHidden/>
    <w:unhideWhenUsed/>
    <w:rsid w:val="00480D5B"/>
    <w:rPr>
      <w:b/>
      <w:bCs/>
    </w:rPr>
  </w:style>
  <w:style w:type="character" w:customStyle="1" w:styleId="OnderwerpvanopmerkingChar">
    <w:name w:val="Onderwerp van opmerking Char"/>
    <w:basedOn w:val="TekstopmerkingChar"/>
    <w:link w:val="Onderwerpvanopmerking"/>
    <w:uiPriority w:val="99"/>
    <w:semiHidden/>
    <w:rsid w:val="00480D5B"/>
    <w:rPr>
      <w:b/>
      <w:bCs/>
      <w:sz w:val="20"/>
      <w:szCs w:val="20"/>
    </w:rPr>
  </w:style>
  <w:style w:type="paragraph" w:styleId="Revisie">
    <w:name w:val="Revision"/>
    <w:hidden/>
    <w:uiPriority w:val="99"/>
    <w:semiHidden/>
    <w:rsid w:val="00B3465E"/>
    <w:pPr>
      <w:spacing w:after="0" w:line="240" w:lineRule="auto"/>
    </w:pPr>
  </w:style>
  <w:style w:type="character" w:styleId="Hyperlink">
    <w:name w:val="Hyperlink"/>
    <w:basedOn w:val="Standaardalinea-lettertype"/>
    <w:uiPriority w:val="99"/>
    <w:unhideWhenUsed/>
    <w:rsid w:val="00520CF2"/>
    <w:rPr>
      <w:color w:val="0000FF" w:themeColor="hyperlink"/>
      <w:u w:val="single"/>
    </w:rPr>
  </w:style>
  <w:style w:type="character" w:styleId="GevolgdeHyperlink">
    <w:name w:val="FollowedHyperlink"/>
    <w:basedOn w:val="Standaardalinea-lettertype"/>
    <w:uiPriority w:val="99"/>
    <w:semiHidden/>
    <w:unhideWhenUsed/>
    <w:rsid w:val="003F233B"/>
    <w:rPr>
      <w:color w:val="800080" w:themeColor="followedHyperlink"/>
      <w:u w:val="single"/>
    </w:rPr>
  </w:style>
  <w:style w:type="paragraph" w:customStyle="1" w:styleId="Default">
    <w:name w:val="Default"/>
    <w:rsid w:val="00367785"/>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33">
      <w:bodyDiv w:val="1"/>
      <w:marLeft w:val="0"/>
      <w:marRight w:val="0"/>
      <w:marTop w:val="0"/>
      <w:marBottom w:val="0"/>
      <w:divBdr>
        <w:top w:val="none" w:sz="0" w:space="0" w:color="auto"/>
        <w:left w:val="none" w:sz="0" w:space="0" w:color="auto"/>
        <w:bottom w:val="none" w:sz="0" w:space="0" w:color="auto"/>
        <w:right w:val="none" w:sz="0" w:space="0" w:color="auto"/>
      </w:divBdr>
    </w:div>
    <w:div w:id="8486290">
      <w:bodyDiv w:val="1"/>
      <w:marLeft w:val="0"/>
      <w:marRight w:val="0"/>
      <w:marTop w:val="0"/>
      <w:marBottom w:val="0"/>
      <w:divBdr>
        <w:top w:val="none" w:sz="0" w:space="0" w:color="auto"/>
        <w:left w:val="none" w:sz="0" w:space="0" w:color="auto"/>
        <w:bottom w:val="none" w:sz="0" w:space="0" w:color="auto"/>
        <w:right w:val="none" w:sz="0" w:space="0" w:color="auto"/>
      </w:divBdr>
    </w:div>
    <w:div w:id="27800376">
      <w:bodyDiv w:val="1"/>
      <w:marLeft w:val="0"/>
      <w:marRight w:val="0"/>
      <w:marTop w:val="0"/>
      <w:marBottom w:val="0"/>
      <w:divBdr>
        <w:top w:val="none" w:sz="0" w:space="0" w:color="auto"/>
        <w:left w:val="none" w:sz="0" w:space="0" w:color="auto"/>
        <w:bottom w:val="none" w:sz="0" w:space="0" w:color="auto"/>
        <w:right w:val="none" w:sz="0" w:space="0" w:color="auto"/>
      </w:divBdr>
    </w:div>
    <w:div w:id="79526633">
      <w:bodyDiv w:val="1"/>
      <w:marLeft w:val="0"/>
      <w:marRight w:val="0"/>
      <w:marTop w:val="0"/>
      <w:marBottom w:val="0"/>
      <w:divBdr>
        <w:top w:val="none" w:sz="0" w:space="0" w:color="auto"/>
        <w:left w:val="none" w:sz="0" w:space="0" w:color="auto"/>
        <w:bottom w:val="none" w:sz="0" w:space="0" w:color="auto"/>
        <w:right w:val="none" w:sz="0" w:space="0" w:color="auto"/>
      </w:divBdr>
    </w:div>
    <w:div w:id="124475031">
      <w:bodyDiv w:val="1"/>
      <w:marLeft w:val="0"/>
      <w:marRight w:val="0"/>
      <w:marTop w:val="0"/>
      <w:marBottom w:val="0"/>
      <w:divBdr>
        <w:top w:val="none" w:sz="0" w:space="0" w:color="auto"/>
        <w:left w:val="none" w:sz="0" w:space="0" w:color="auto"/>
        <w:bottom w:val="none" w:sz="0" w:space="0" w:color="auto"/>
        <w:right w:val="none" w:sz="0" w:space="0" w:color="auto"/>
      </w:divBdr>
    </w:div>
    <w:div w:id="141623305">
      <w:bodyDiv w:val="1"/>
      <w:marLeft w:val="0"/>
      <w:marRight w:val="0"/>
      <w:marTop w:val="0"/>
      <w:marBottom w:val="0"/>
      <w:divBdr>
        <w:top w:val="none" w:sz="0" w:space="0" w:color="auto"/>
        <w:left w:val="none" w:sz="0" w:space="0" w:color="auto"/>
        <w:bottom w:val="none" w:sz="0" w:space="0" w:color="auto"/>
        <w:right w:val="none" w:sz="0" w:space="0" w:color="auto"/>
      </w:divBdr>
    </w:div>
    <w:div w:id="156699868">
      <w:bodyDiv w:val="1"/>
      <w:marLeft w:val="0"/>
      <w:marRight w:val="0"/>
      <w:marTop w:val="0"/>
      <w:marBottom w:val="0"/>
      <w:divBdr>
        <w:top w:val="none" w:sz="0" w:space="0" w:color="auto"/>
        <w:left w:val="none" w:sz="0" w:space="0" w:color="auto"/>
        <w:bottom w:val="none" w:sz="0" w:space="0" w:color="auto"/>
        <w:right w:val="none" w:sz="0" w:space="0" w:color="auto"/>
      </w:divBdr>
    </w:div>
    <w:div w:id="160463079">
      <w:bodyDiv w:val="1"/>
      <w:marLeft w:val="0"/>
      <w:marRight w:val="0"/>
      <w:marTop w:val="0"/>
      <w:marBottom w:val="0"/>
      <w:divBdr>
        <w:top w:val="none" w:sz="0" w:space="0" w:color="auto"/>
        <w:left w:val="none" w:sz="0" w:space="0" w:color="auto"/>
        <w:bottom w:val="none" w:sz="0" w:space="0" w:color="auto"/>
        <w:right w:val="none" w:sz="0" w:space="0" w:color="auto"/>
      </w:divBdr>
    </w:div>
    <w:div w:id="163322474">
      <w:bodyDiv w:val="1"/>
      <w:marLeft w:val="0"/>
      <w:marRight w:val="0"/>
      <w:marTop w:val="0"/>
      <w:marBottom w:val="0"/>
      <w:divBdr>
        <w:top w:val="none" w:sz="0" w:space="0" w:color="auto"/>
        <w:left w:val="none" w:sz="0" w:space="0" w:color="auto"/>
        <w:bottom w:val="none" w:sz="0" w:space="0" w:color="auto"/>
        <w:right w:val="none" w:sz="0" w:space="0" w:color="auto"/>
      </w:divBdr>
    </w:div>
    <w:div w:id="207495560">
      <w:bodyDiv w:val="1"/>
      <w:marLeft w:val="0"/>
      <w:marRight w:val="0"/>
      <w:marTop w:val="0"/>
      <w:marBottom w:val="0"/>
      <w:divBdr>
        <w:top w:val="none" w:sz="0" w:space="0" w:color="auto"/>
        <w:left w:val="none" w:sz="0" w:space="0" w:color="auto"/>
        <w:bottom w:val="none" w:sz="0" w:space="0" w:color="auto"/>
        <w:right w:val="none" w:sz="0" w:space="0" w:color="auto"/>
      </w:divBdr>
    </w:div>
    <w:div w:id="219443070">
      <w:bodyDiv w:val="1"/>
      <w:marLeft w:val="0"/>
      <w:marRight w:val="0"/>
      <w:marTop w:val="0"/>
      <w:marBottom w:val="0"/>
      <w:divBdr>
        <w:top w:val="none" w:sz="0" w:space="0" w:color="auto"/>
        <w:left w:val="none" w:sz="0" w:space="0" w:color="auto"/>
        <w:bottom w:val="none" w:sz="0" w:space="0" w:color="auto"/>
        <w:right w:val="none" w:sz="0" w:space="0" w:color="auto"/>
      </w:divBdr>
    </w:div>
    <w:div w:id="288560310">
      <w:bodyDiv w:val="1"/>
      <w:marLeft w:val="0"/>
      <w:marRight w:val="0"/>
      <w:marTop w:val="0"/>
      <w:marBottom w:val="0"/>
      <w:divBdr>
        <w:top w:val="none" w:sz="0" w:space="0" w:color="auto"/>
        <w:left w:val="none" w:sz="0" w:space="0" w:color="auto"/>
        <w:bottom w:val="none" w:sz="0" w:space="0" w:color="auto"/>
        <w:right w:val="none" w:sz="0" w:space="0" w:color="auto"/>
      </w:divBdr>
    </w:div>
    <w:div w:id="310788502">
      <w:bodyDiv w:val="1"/>
      <w:marLeft w:val="0"/>
      <w:marRight w:val="0"/>
      <w:marTop w:val="0"/>
      <w:marBottom w:val="0"/>
      <w:divBdr>
        <w:top w:val="none" w:sz="0" w:space="0" w:color="auto"/>
        <w:left w:val="none" w:sz="0" w:space="0" w:color="auto"/>
        <w:bottom w:val="none" w:sz="0" w:space="0" w:color="auto"/>
        <w:right w:val="none" w:sz="0" w:space="0" w:color="auto"/>
      </w:divBdr>
    </w:div>
    <w:div w:id="335882872">
      <w:bodyDiv w:val="1"/>
      <w:marLeft w:val="0"/>
      <w:marRight w:val="0"/>
      <w:marTop w:val="0"/>
      <w:marBottom w:val="0"/>
      <w:divBdr>
        <w:top w:val="none" w:sz="0" w:space="0" w:color="auto"/>
        <w:left w:val="none" w:sz="0" w:space="0" w:color="auto"/>
        <w:bottom w:val="none" w:sz="0" w:space="0" w:color="auto"/>
        <w:right w:val="none" w:sz="0" w:space="0" w:color="auto"/>
      </w:divBdr>
    </w:div>
    <w:div w:id="347026497">
      <w:bodyDiv w:val="1"/>
      <w:marLeft w:val="0"/>
      <w:marRight w:val="0"/>
      <w:marTop w:val="0"/>
      <w:marBottom w:val="0"/>
      <w:divBdr>
        <w:top w:val="none" w:sz="0" w:space="0" w:color="auto"/>
        <w:left w:val="none" w:sz="0" w:space="0" w:color="auto"/>
        <w:bottom w:val="none" w:sz="0" w:space="0" w:color="auto"/>
        <w:right w:val="none" w:sz="0" w:space="0" w:color="auto"/>
      </w:divBdr>
    </w:div>
    <w:div w:id="398748190">
      <w:bodyDiv w:val="1"/>
      <w:marLeft w:val="0"/>
      <w:marRight w:val="0"/>
      <w:marTop w:val="0"/>
      <w:marBottom w:val="0"/>
      <w:divBdr>
        <w:top w:val="none" w:sz="0" w:space="0" w:color="auto"/>
        <w:left w:val="none" w:sz="0" w:space="0" w:color="auto"/>
        <w:bottom w:val="none" w:sz="0" w:space="0" w:color="auto"/>
        <w:right w:val="none" w:sz="0" w:space="0" w:color="auto"/>
      </w:divBdr>
    </w:div>
    <w:div w:id="406339814">
      <w:bodyDiv w:val="1"/>
      <w:marLeft w:val="0"/>
      <w:marRight w:val="0"/>
      <w:marTop w:val="0"/>
      <w:marBottom w:val="0"/>
      <w:divBdr>
        <w:top w:val="none" w:sz="0" w:space="0" w:color="auto"/>
        <w:left w:val="none" w:sz="0" w:space="0" w:color="auto"/>
        <w:bottom w:val="none" w:sz="0" w:space="0" w:color="auto"/>
        <w:right w:val="none" w:sz="0" w:space="0" w:color="auto"/>
      </w:divBdr>
    </w:div>
    <w:div w:id="412244155">
      <w:bodyDiv w:val="1"/>
      <w:marLeft w:val="0"/>
      <w:marRight w:val="0"/>
      <w:marTop w:val="0"/>
      <w:marBottom w:val="0"/>
      <w:divBdr>
        <w:top w:val="none" w:sz="0" w:space="0" w:color="auto"/>
        <w:left w:val="none" w:sz="0" w:space="0" w:color="auto"/>
        <w:bottom w:val="none" w:sz="0" w:space="0" w:color="auto"/>
        <w:right w:val="none" w:sz="0" w:space="0" w:color="auto"/>
      </w:divBdr>
    </w:div>
    <w:div w:id="415563888">
      <w:bodyDiv w:val="1"/>
      <w:marLeft w:val="0"/>
      <w:marRight w:val="0"/>
      <w:marTop w:val="0"/>
      <w:marBottom w:val="0"/>
      <w:divBdr>
        <w:top w:val="none" w:sz="0" w:space="0" w:color="auto"/>
        <w:left w:val="none" w:sz="0" w:space="0" w:color="auto"/>
        <w:bottom w:val="none" w:sz="0" w:space="0" w:color="auto"/>
        <w:right w:val="none" w:sz="0" w:space="0" w:color="auto"/>
      </w:divBdr>
    </w:div>
    <w:div w:id="454561617">
      <w:bodyDiv w:val="1"/>
      <w:marLeft w:val="0"/>
      <w:marRight w:val="0"/>
      <w:marTop w:val="0"/>
      <w:marBottom w:val="0"/>
      <w:divBdr>
        <w:top w:val="none" w:sz="0" w:space="0" w:color="auto"/>
        <w:left w:val="none" w:sz="0" w:space="0" w:color="auto"/>
        <w:bottom w:val="none" w:sz="0" w:space="0" w:color="auto"/>
        <w:right w:val="none" w:sz="0" w:space="0" w:color="auto"/>
      </w:divBdr>
    </w:div>
    <w:div w:id="485706669">
      <w:bodyDiv w:val="1"/>
      <w:marLeft w:val="0"/>
      <w:marRight w:val="0"/>
      <w:marTop w:val="0"/>
      <w:marBottom w:val="0"/>
      <w:divBdr>
        <w:top w:val="none" w:sz="0" w:space="0" w:color="auto"/>
        <w:left w:val="none" w:sz="0" w:space="0" w:color="auto"/>
        <w:bottom w:val="none" w:sz="0" w:space="0" w:color="auto"/>
        <w:right w:val="none" w:sz="0" w:space="0" w:color="auto"/>
      </w:divBdr>
    </w:div>
    <w:div w:id="503252729">
      <w:bodyDiv w:val="1"/>
      <w:marLeft w:val="0"/>
      <w:marRight w:val="0"/>
      <w:marTop w:val="0"/>
      <w:marBottom w:val="0"/>
      <w:divBdr>
        <w:top w:val="none" w:sz="0" w:space="0" w:color="auto"/>
        <w:left w:val="none" w:sz="0" w:space="0" w:color="auto"/>
        <w:bottom w:val="none" w:sz="0" w:space="0" w:color="auto"/>
        <w:right w:val="none" w:sz="0" w:space="0" w:color="auto"/>
      </w:divBdr>
    </w:div>
    <w:div w:id="512959324">
      <w:bodyDiv w:val="1"/>
      <w:marLeft w:val="0"/>
      <w:marRight w:val="0"/>
      <w:marTop w:val="0"/>
      <w:marBottom w:val="0"/>
      <w:divBdr>
        <w:top w:val="none" w:sz="0" w:space="0" w:color="auto"/>
        <w:left w:val="none" w:sz="0" w:space="0" w:color="auto"/>
        <w:bottom w:val="none" w:sz="0" w:space="0" w:color="auto"/>
        <w:right w:val="none" w:sz="0" w:space="0" w:color="auto"/>
      </w:divBdr>
    </w:div>
    <w:div w:id="545020377">
      <w:bodyDiv w:val="1"/>
      <w:marLeft w:val="0"/>
      <w:marRight w:val="0"/>
      <w:marTop w:val="0"/>
      <w:marBottom w:val="0"/>
      <w:divBdr>
        <w:top w:val="none" w:sz="0" w:space="0" w:color="auto"/>
        <w:left w:val="none" w:sz="0" w:space="0" w:color="auto"/>
        <w:bottom w:val="none" w:sz="0" w:space="0" w:color="auto"/>
        <w:right w:val="none" w:sz="0" w:space="0" w:color="auto"/>
      </w:divBdr>
    </w:div>
    <w:div w:id="545023263">
      <w:bodyDiv w:val="1"/>
      <w:marLeft w:val="0"/>
      <w:marRight w:val="0"/>
      <w:marTop w:val="0"/>
      <w:marBottom w:val="0"/>
      <w:divBdr>
        <w:top w:val="none" w:sz="0" w:space="0" w:color="auto"/>
        <w:left w:val="none" w:sz="0" w:space="0" w:color="auto"/>
        <w:bottom w:val="none" w:sz="0" w:space="0" w:color="auto"/>
        <w:right w:val="none" w:sz="0" w:space="0" w:color="auto"/>
      </w:divBdr>
    </w:div>
    <w:div w:id="561983977">
      <w:bodyDiv w:val="1"/>
      <w:marLeft w:val="0"/>
      <w:marRight w:val="0"/>
      <w:marTop w:val="0"/>
      <w:marBottom w:val="0"/>
      <w:divBdr>
        <w:top w:val="none" w:sz="0" w:space="0" w:color="auto"/>
        <w:left w:val="none" w:sz="0" w:space="0" w:color="auto"/>
        <w:bottom w:val="none" w:sz="0" w:space="0" w:color="auto"/>
        <w:right w:val="none" w:sz="0" w:space="0" w:color="auto"/>
      </w:divBdr>
    </w:div>
    <w:div w:id="580334066">
      <w:bodyDiv w:val="1"/>
      <w:marLeft w:val="0"/>
      <w:marRight w:val="0"/>
      <w:marTop w:val="0"/>
      <w:marBottom w:val="0"/>
      <w:divBdr>
        <w:top w:val="none" w:sz="0" w:space="0" w:color="auto"/>
        <w:left w:val="none" w:sz="0" w:space="0" w:color="auto"/>
        <w:bottom w:val="none" w:sz="0" w:space="0" w:color="auto"/>
        <w:right w:val="none" w:sz="0" w:space="0" w:color="auto"/>
      </w:divBdr>
    </w:div>
    <w:div w:id="593710181">
      <w:bodyDiv w:val="1"/>
      <w:marLeft w:val="0"/>
      <w:marRight w:val="0"/>
      <w:marTop w:val="0"/>
      <w:marBottom w:val="0"/>
      <w:divBdr>
        <w:top w:val="none" w:sz="0" w:space="0" w:color="auto"/>
        <w:left w:val="none" w:sz="0" w:space="0" w:color="auto"/>
        <w:bottom w:val="none" w:sz="0" w:space="0" w:color="auto"/>
        <w:right w:val="none" w:sz="0" w:space="0" w:color="auto"/>
      </w:divBdr>
    </w:div>
    <w:div w:id="612399136">
      <w:bodyDiv w:val="1"/>
      <w:marLeft w:val="0"/>
      <w:marRight w:val="0"/>
      <w:marTop w:val="0"/>
      <w:marBottom w:val="0"/>
      <w:divBdr>
        <w:top w:val="none" w:sz="0" w:space="0" w:color="auto"/>
        <w:left w:val="none" w:sz="0" w:space="0" w:color="auto"/>
        <w:bottom w:val="none" w:sz="0" w:space="0" w:color="auto"/>
        <w:right w:val="none" w:sz="0" w:space="0" w:color="auto"/>
      </w:divBdr>
    </w:div>
    <w:div w:id="618606108">
      <w:bodyDiv w:val="1"/>
      <w:marLeft w:val="0"/>
      <w:marRight w:val="0"/>
      <w:marTop w:val="0"/>
      <w:marBottom w:val="0"/>
      <w:divBdr>
        <w:top w:val="none" w:sz="0" w:space="0" w:color="auto"/>
        <w:left w:val="none" w:sz="0" w:space="0" w:color="auto"/>
        <w:bottom w:val="none" w:sz="0" w:space="0" w:color="auto"/>
        <w:right w:val="none" w:sz="0" w:space="0" w:color="auto"/>
      </w:divBdr>
    </w:div>
    <w:div w:id="643388371">
      <w:bodyDiv w:val="1"/>
      <w:marLeft w:val="0"/>
      <w:marRight w:val="0"/>
      <w:marTop w:val="0"/>
      <w:marBottom w:val="0"/>
      <w:divBdr>
        <w:top w:val="none" w:sz="0" w:space="0" w:color="auto"/>
        <w:left w:val="none" w:sz="0" w:space="0" w:color="auto"/>
        <w:bottom w:val="none" w:sz="0" w:space="0" w:color="auto"/>
        <w:right w:val="none" w:sz="0" w:space="0" w:color="auto"/>
      </w:divBdr>
    </w:div>
    <w:div w:id="702906316">
      <w:bodyDiv w:val="1"/>
      <w:marLeft w:val="0"/>
      <w:marRight w:val="0"/>
      <w:marTop w:val="0"/>
      <w:marBottom w:val="0"/>
      <w:divBdr>
        <w:top w:val="none" w:sz="0" w:space="0" w:color="auto"/>
        <w:left w:val="none" w:sz="0" w:space="0" w:color="auto"/>
        <w:bottom w:val="none" w:sz="0" w:space="0" w:color="auto"/>
        <w:right w:val="none" w:sz="0" w:space="0" w:color="auto"/>
      </w:divBdr>
    </w:div>
    <w:div w:id="715668642">
      <w:bodyDiv w:val="1"/>
      <w:marLeft w:val="0"/>
      <w:marRight w:val="0"/>
      <w:marTop w:val="0"/>
      <w:marBottom w:val="0"/>
      <w:divBdr>
        <w:top w:val="none" w:sz="0" w:space="0" w:color="auto"/>
        <w:left w:val="none" w:sz="0" w:space="0" w:color="auto"/>
        <w:bottom w:val="none" w:sz="0" w:space="0" w:color="auto"/>
        <w:right w:val="none" w:sz="0" w:space="0" w:color="auto"/>
      </w:divBdr>
    </w:div>
    <w:div w:id="747312920">
      <w:bodyDiv w:val="1"/>
      <w:marLeft w:val="0"/>
      <w:marRight w:val="0"/>
      <w:marTop w:val="0"/>
      <w:marBottom w:val="0"/>
      <w:divBdr>
        <w:top w:val="none" w:sz="0" w:space="0" w:color="auto"/>
        <w:left w:val="none" w:sz="0" w:space="0" w:color="auto"/>
        <w:bottom w:val="none" w:sz="0" w:space="0" w:color="auto"/>
        <w:right w:val="none" w:sz="0" w:space="0" w:color="auto"/>
      </w:divBdr>
    </w:div>
    <w:div w:id="772634234">
      <w:bodyDiv w:val="1"/>
      <w:marLeft w:val="0"/>
      <w:marRight w:val="0"/>
      <w:marTop w:val="0"/>
      <w:marBottom w:val="0"/>
      <w:divBdr>
        <w:top w:val="none" w:sz="0" w:space="0" w:color="auto"/>
        <w:left w:val="none" w:sz="0" w:space="0" w:color="auto"/>
        <w:bottom w:val="none" w:sz="0" w:space="0" w:color="auto"/>
        <w:right w:val="none" w:sz="0" w:space="0" w:color="auto"/>
      </w:divBdr>
    </w:div>
    <w:div w:id="778640378">
      <w:bodyDiv w:val="1"/>
      <w:marLeft w:val="0"/>
      <w:marRight w:val="0"/>
      <w:marTop w:val="0"/>
      <w:marBottom w:val="0"/>
      <w:divBdr>
        <w:top w:val="none" w:sz="0" w:space="0" w:color="auto"/>
        <w:left w:val="none" w:sz="0" w:space="0" w:color="auto"/>
        <w:bottom w:val="none" w:sz="0" w:space="0" w:color="auto"/>
        <w:right w:val="none" w:sz="0" w:space="0" w:color="auto"/>
      </w:divBdr>
    </w:div>
    <w:div w:id="922834112">
      <w:bodyDiv w:val="1"/>
      <w:marLeft w:val="0"/>
      <w:marRight w:val="0"/>
      <w:marTop w:val="0"/>
      <w:marBottom w:val="0"/>
      <w:divBdr>
        <w:top w:val="none" w:sz="0" w:space="0" w:color="auto"/>
        <w:left w:val="none" w:sz="0" w:space="0" w:color="auto"/>
        <w:bottom w:val="none" w:sz="0" w:space="0" w:color="auto"/>
        <w:right w:val="none" w:sz="0" w:space="0" w:color="auto"/>
      </w:divBdr>
    </w:div>
    <w:div w:id="1002971051">
      <w:bodyDiv w:val="1"/>
      <w:marLeft w:val="0"/>
      <w:marRight w:val="0"/>
      <w:marTop w:val="0"/>
      <w:marBottom w:val="0"/>
      <w:divBdr>
        <w:top w:val="none" w:sz="0" w:space="0" w:color="auto"/>
        <w:left w:val="none" w:sz="0" w:space="0" w:color="auto"/>
        <w:bottom w:val="none" w:sz="0" w:space="0" w:color="auto"/>
        <w:right w:val="none" w:sz="0" w:space="0" w:color="auto"/>
      </w:divBdr>
    </w:div>
    <w:div w:id="1004279795">
      <w:bodyDiv w:val="1"/>
      <w:marLeft w:val="0"/>
      <w:marRight w:val="0"/>
      <w:marTop w:val="0"/>
      <w:marBottom w:val="0"/>
      <w:divBdr>
        <w:top w:val="none" w:sz="0" w:space="0" w:color="auto"/>
        <w:left w:val="none" w:sz="0" w:space="0" w:color="auto"/>
        <w:bottom w:val="none" w:sz="0" w:space="0" w:color="auto"/>
        <w:right w:val="none" w:sz="0" w:space="0" w:color="auto"/>
      </w:divBdr>
    </w:div>
    <w:div w:id="1032070289">
      <w:bodyDiv w:val="1"/>
      <w:marLeft w:val="0"/>
      <w:marRight w:val="0"/>
      <w:marTop w:val="0"/>
      <w:marBottom w:val="0"/>
      <w:divBdr>
        <w:top w:val="none" w:sz="0" w:space="0" w:color="auto"/>
        <w:left w:val="none" w:sz="0" w:space="0" w:color="auto"/>
        <w:bottom w:val="none" w:sz="0" w:space="0" w:color="auto"/>
        <w:right w:val="none" w:sz="0" w:space="0" w:color="auto"/>
      </w:divBdr>
    </w:div>
    <w:div w:id="1044981984">
      <w:bodyDiv w:val="1"/>
      <w:marLeft w:val="0"/>
      <w:marRight w:val="0"/>
      <w:marTop w:val="0"/>
      <w:marBottom w:val="0"/>
      <w:divBdr>
        <w:top w:val="none" w:sz="0" w:space="0" w:color="auto"/>
        <w:left w:val="none" w:sz="0" w:space="0" w:color="auto"/>
        <w:bottom w:val="none" w:sz="0" w:space="0" w:color="auto"/>
        <w:right w:val="none" w:sz="0" w:space="0" w:color="auto"/>
      </w:divBdr>
    </w:div>
    <w:div w:id="1104036702">
      <w:bodyDiv w:val="1"/>
      <w:marLeft w:val="0"/>
      <w:marRight w:val="0"/>
      <w:marTop w:val="0"/>
      <w:marBottom w:val="0"/>
      <w:divBdr>
        <w:top w:val="none" w:sz="0" w:space="0" w:color="auto"/>
        <w:left w:val="none" w:sz="0" w:space="0" w:color="auto"/>
        <w:bottom w:val="none" w:sz="0" w:space="0" w:color="auto"/>
        <w:right w:val="none" w:sz="0" w:space="0" w:color="auto"/>
      </w:divBdr>
    </w:div>
    <w:div w:id="1112749493">
      <w:bodyDiv w:val="1"/>
      <w:marLeft w:val="0"/>
      <w:marRight w:val="0"/>
      <w:marTop w:val="0"/>
      <w:marBottom w:val="0"/>
      <w:divBdr>
        <w:top w:val="none" w:sz="0" w:space="0" w:color="auto"/>
        <w:left w:val="none" w:sz="0" w:space="0" w:color="auto"/>
        <w:bottom w:val="none" w:sz="0" w:space="0" w:color="auto"/>
        <w:right w:val="none" w:sz="0" w:space="0" w:color="auto"/>
      </w:divBdr>
    </w:div>
    <w:div w:id="1135103462">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75218840">
      <w:bodyDiv w:val="1"/>
      <w:marLeft w:val="0"/>
      <w:marRight w:val="0"/>
      <w:marTop w:val="0"/>
      <w:marBottom w:val="0"/>
      <w:divBdr>
        <w:top w:val="none" w:sz="0" w:space="0" w:color="auto"/>
        <w:left w:val="none" w:sz="0" w:space="0" w:color="auto"/>
        <w:bottom w:val="none" w:sz="0" w:space="0" w:color="auto"/>
        <w:right w:val="none" w:sz="0" w:space="0" w:color="auto"/>
      </w:divBdr>
    </w:div>
    <w:div w:id="1179663069">
      <w:bodyDiv w:val="1"/>
      <w:marLeft w:val="0"/>
      <w:marRight w:val="0"/>
      <w:marTop w:val="0"/>
      <w:marBottom w:val="0"/>
      <w:divBdr>
        <w:top w:val="none" w:sz="0" w:space="0" w:color="auto"/>
        <w:left w:val="none" w:sz="0" w:space="0" w:color="auto"/>
        <w:bottom w:val="none" w:sz="0" w:space="0" w:color="auto"/>
        <w:right w:val="none" w:sz="0" w:space="0" w:color="auto"/>
      </w:divBdr>
    </w:div>
    <w:div w:id="1180579712">
      <w:bodyDiv w:val="1"/>
      <w:marLeft w:val="0"/>
      <w:marRight w:val="0"/>
      <w:marTop w:val="0"/>
      <w:marBottom w:val="0"/>
      <w:divBdr>
        <w:top w:val="none" w:sz="0" w:space="0" w:color="auto"/>
        <w:left w:val="none" w:sz="0" w:space="0" w:color="auto"/>
        <w:bottom w:val="none" w:sz="0" w:space="0" w:color="auto"/>
        <w:right w:val="none" w:sz="0" w:space="0" w:color="auto"/>
      </w:divBdr>
    </w:div>
    <w:div w:id="1237008379">
      <w:bodyDiv w:val="1"/>
      <w:marLeft w:val="0"/>
      <w:marRight w:val="0"/>
      <w:marTop w:val="0"/>
      <w:marBottom w:val="0"/>
      <w:divBdr>
        <w:top w:val="none" w:sz="0" w:space="0" w:color="auto"/>
        <w:left w:val="none" w:sz="0" w:space="0" w:color="auto"/>
        <w:bottom w:val="none" w:sz="0" w:space="0" w:color="auto"/>
        <w:right w:val="none" w:sz="0" w:space="0" w:color="auto"/>
      </w:divBdr>
    </w:div>
    <w:div w:id="1240596954">
      <w:bodyDiv w:val="1"/>
      <w:marLeft w:val="0"/>
      <w:marRight w:val="0"/>
      <w:marTop w:val="0"/>
      <w:marBottom w:val="0"/>
      <w:divBdr>
        <w:top w:val="none" w:sz="0" w:space="0" w:color="auto"/>
        <w:left w:val="none" w:sz="0" w:space="0" w:color="auto"/>
        <w:bottom w:val="none" w:sz="0" w:space="0" w:color="auto"/>
        <w:right w:val="none" w:sz="0" w:space="0" w:color="auto"/>
      </w:divBdr>
    </w:div>
    <w:div w:id="1247108571">
      <w:bodyDiv w:val="1"/>
      <w:marLeft w:val="0"/>
      <w:marRight w:val="0"/>
      <w:marTop w:val="0"/>
      <w:marBottom w:val="0"/>
      <w:divBdr>
        <w:top w:val="none" w:sz="0" w:space="0" w:color="auto"/>
        <w:left w:val="none" w:sz="0" w:space="0" w:color="auto"/>
        <w:bottom w:val="none" w:sz="0" w:space="0" w:color="auto"/>
        <w:right w:val="none" w:sz="0" w:space="0" w:color="auto"/>
      </w:divBdr>
    </w:div>
    <w:div w:id="1255630147">
      <w:bodyDiv w:val="1"/>
      <w:marLeft w:val="0"/>
      <w:marRight w:val="0"/>
      <w:marTop w:val="0"/>
      <w:marBottom w:val="0"/>
      <w:divBdr>
        <w:top w:val="none" w:sz="0" w:space="0" w:color="auto"/>
        <w:left w:val="none" w:sz="0" w:space="0" w:color="auto"/>
        <w:bottom w:val="none" w:sz="0" w:space="0" w:color="auto"/>
        <w:right w:val="none" w:sz="0" w:space="0" w:color="auto"/>
      </w:divBdr>
    </w:div>
    <w:div w:id="1308708174">
      <w:bodyDiv w:val="1"/>
      <w:marLeft w:val="0"/>
      <w:marRight w:val="0"/>
      <w:marTop w:val="0"/>
      <w:marBottom w:val="0"/>
      <w:divBdr>
        <w:top w:val="none" w:sz="0" w:space="0" w:color="auto"/>
        <w:left w:val="none" w:sz="0" w:space="0" w:color="auto"/>
        <w:bottom w:val="none" w:sz="0" w:space="0" w:color="auto"/>
        <w:right w:val="none" w:sz="0" w:space="0" w:color="auto"/>
      </w:divBdr>
    </w:div>
    <w:div w:id="1320427882">
      <w:bodyDiv w:val="1"/>
      <w:marLeft w:val="0"/>
      <w:marRight w:val="0"/>
      <w:marTop w:val="0"/>
      <w:marBottom w:val="0"/>
      <w:divBdr>
        <w:top w:val="none" w:sz="0" w:space="0" w:color="auto"/>
        <w:left w:val="none" w:sz="0" w:space="0" w:color="auto"/>
        <w:bottom w:val="none" w:sz="0" w:space="0" w:color="auto"/>
        <w:right w:val="none" w:sz="0" w:space="0" w:color="auto"/>
      </w:divBdr>
    </w:div>
    <w:div w:id="1379621507">
      <w:bodyDiv w:val="1"/>
      <w:marLeft w:val="0"/>
      <w:marRight w:val="0"/>
      <w:marTop w:val="0"/>
      <w:marBottom w:val="0"/>
      <w:divBdr>
        <w:top w:val="none" w:sz="0" w:space="0" w:color="auto"/>
        <w:left w:val="none" w:sz="0" w:space="0" w:color="auto"/>
        <w:bottom w:val="none" w:sz="0" w:space="0" w:color="auto"/>
        <w:right w:val="none" w:sz="0" w:space="0" w:color="auto"/>
      </w:divBdr>
    </w:div>
    <w:div w:id="1409384262">
      <w:bodyDiv w:val="1"/>
      <w:marLeft w:val="0"/>
      <w:marRight w:val="0"/>
      <w:marTop w:val="0"/>
      <w:marBottom w:val="0"/>
      <w:divBdr>
        <w:top w:val="none" w:sz="0" w:space="0" w:color="auto"/>
        <w:left w:val="none" w:sz="0" w:space="0" w:color="auto"/>
        <w:bottom w:val="none" w:sz="0" w:space="0" w:color="auto"/>
        <w:right w:val="none" w:sz="0" w:space="0" w:color="auto"/>
      </w:divBdr>
    </w:div>
    <w:div w:id="1416246763">
      <w:bodyDiv w:val="1"/>
      <w:marLeft w:val="0"/>
      <w:marRight w:val="0"/>
      <w:marTop w:val="0"/>
      <w:marBottom w:val="0"/>
      <w:divBdr>
        <w:top w:val="none" w:sz="0" w:space="0" w:color="auto"/>
        <w:left w:val="none" w:sz="0" w:space="0" w:color="auto"/>
        <w:bottom w:val="none" w:sz="0" w:space="0" w:color="auto"/>
        <w:right w:val="none" w:sz="0" w:space="0" w:color="auto"/>
      </w:divBdr>
    </w:div>
    <w:div w:id="1418593946">
      <w:bodyDiv w:val="1"/>
      <w:marLeft w:val="0"/>
      <w:marRight w:val="0"/>
      <w:marTop w:val="0"/>
      <w:marBottom w:val="0"/>
      <w:divBdr>
        <w:top w:val="none" w:sz="0" w:space="0" w:color="auto"/>
        <w:left w:val="none" w:sz="0" w:space="0" w:color="auto"/>
        <w:bottom w:val="none" w:sz="0" w:space="0" w:color="auto"/>
        <w:right w:val="none" w:sz="0" w:space="0" w:color="auto"/>
      </w:divBdr>
    </w:div>
    <w:div w:id="1422946394">
      <w:bodyDiv w:val="1"/>
      <w:marLeft w:val="0"/>
      <w:marRight w:val="0"/>
      <w:marTop w:val="0"/>
      <w:marBottom w:val="0"/>
      <w:divBdr>
        <w:top w:val="none" w:sz="0" w:space="0" w:color="auto"/>
        <w:left w:val="none" w:sz="0" w:space="0" w:color="auto"/>
        <w:bottom w:val="none" w:sz="0" w:space="0" w:color="auto"/>
        <w:right w:val="none" w:sz="0" w:space="0" w:color="auto"/>
      </w:divBdr>
    </w:div>
    <w:div w:id="1449085831">
      <w:bodyDiv w:val="1"/>
      <w:marLeft w:val="0"/>
      <w:marRight w:val="0"/>
      <w:marTop w:val="0"/>
      <w:marBottom w:val="0"/>
      <w:divBdr>
        <w:top w:val="none" w:sz="0" w:space="0" w:color="auto"/>
        <w:left w:val="none" w:sz="0" w:space="0" w:color="auto"/>
        <w:bottom w:val="none" w:sz="0" w:space="0" w:color="auto"/>
        <w:right w:val="none" w:sz="0" w:space="0" w:color="auto"/>
      </w:divBdr>
    </w:div>
    <w:div w:id="1454327443">
      <w:bodyDiv w:val="1"/>
      <w:marLeft w:val="0"/>
      <w:marRight w:val="0"/>
      <w:marTop w:val="0"/>
      <w:marBottom w:val="0"/>
      <w:divBdr>
        <w:top w:val="none" w:sz="0" w:space="0" w:color="auto"/>
        <w:left w:val="none" w:sz="0" w:space="0" w:color="auto"/>
        <w:bottom w:val="none" w:sz="0" w:space="0" w:color="auto"/>
        <w:right w:val="none" w:sz="0" w:space="0" w:color="auto"/>
      </w:divBdr>
    </w:div>
    <w:div w:id="1461731046">
      <w:bodyDiv w:val="1"/>
      <w:marLeft w:val="0"/>
      <w:marRight w:val="0"/>
      <w:marTop w:val="0"/>
      <w:marBottom w:val="0"/>
      <w:divBdr>
        <w:top w:val="none" w:sz="0" w:space="0" w:color="auto"/>
        <w:left w:val="none" w:sz="0" w:space="0" w:color="auto"/>
        <w:bottom w:val="none" w:sz="0" w:space="0" w:color="auto"/>
        <w:right w:val="none" w:sz="0" w:space="0" w:color="auto"/>
      </w:divBdr>
    </w:div>
    <w:div w:id="1464468346">
      <w:bodyDiv w:val="1"/>
      <w:marLeft w:val="0"/>
      <w:marRight w:val="0"/>
      <w:marTop w:val="0"/>
      <w:marBottom w:val="0"/>
      <w:divBdr>
        <w:top w:val="none" w:sz="0" w:space="0" w:color="auto"/>
        <w:left w:val="none" w:sz="0" w:space="0" w:color="auto"/>
        <w:bottom w:val="none" w:sz="0" w:space="0" w:color="auto"/>
        <w:right w:val="none" w:sz="0" w:space="0" w:color="auto"/>
      </w:divBdr>
    </w:div>
    <w:div w:id="1514151516">
      <w:bodyDiv w:val="1"/>
      <w:marLeft w:val="0"/>
      <w:marRight w:val="0"/>
      <w:marTop w:val="0"/>
      <w:marBottom w:val="0"/>
      <w:divBdr>
        <w:top w:val="none" w:sz="0" w:space="0" w:color="auto"/>
        <w:left w:val="none" w:sz="0" w:space="0" w:color="auto"/>
        <w:bottom w:val="none" w:sz="0" w:space="0" w:color="auto"/>
        <w:right w:val="none" w:sz="0" w:space="0" w:color="auto"/>
      </w:divBdr>
    </w:div>
    <w:div w:id="1534609045">
      <w:bodyDiv w:val="1"/>
      <w:marLeft w:val="0"/>
      <w:marRight w:val="0"/>
      <w:marTop w:val="0"/>
      <w:marBottom w:val="0"/>
      <w:divBdr>
        <w:top w:val="none" w:sz="0" w:space="0" w:color="auto"/>
        <w:left w:val="none" w:sz="0" w:space="0" w:color="auto"/>
        <w:bottom w:val="none" w:sz="0" w:space="0" w:color="auto"/>
        <w:right w:val="none" w:sz="0" w:space="0" w:color="auto"/>
      </w:divBdr>
    </w:div>
    <w:div w:id="1555237505">
      <w:bodyDiv w:val="1"/>
      <w:marLeft w:val="0"/>
      <w:marRight w:val="0"/>
      <w:marTop w:val="0"/>
      <w:marBottom w:val="0"/>
      <w:divBdr>
        <w:top w:val="none" w:sz="0" w:space="0" w:color="auto"/>
        <w:left w:val="none" w:sz="0" w:space="0" w:color="auto"/>
        <w:bottom w:val="none" w:sz="0" w:space="0" w:color="auto"/>
        <w:right w:val="none" w:sz="0" w:space="0" w:color="auto"/>
      </w:divBdr>
    </w:div>
    <w:div w:id="1641616765">
      <w:bodyDiv w:val="1"/>
      <w:marLeft w:val="0"/>
      <w:marRight w:val="0"/>
      <w:marTop w:val="0"/>
      <w:marBottom w:val="0"/>
      <w:divBdr>
        <w:top w:val="none" w:sz="0" w:space="0" w:color="auto"/>
        <w:left w:val="none" w:sz="0" w:space="0" w:color="auto"/>
        <w:bottom w:val="none" w:sz="0" w:space="0" w:color="auto"/>
        <w:right w:val="none" w:sz="0" w:space="0" w:color="auto"/>
      </w:divBdr>
    </w:div>
    <w:div w:id="1662612999">
      <w:bodyDiv w:val="1"/>
      <w:marLeft w:val="0"/>
      <w:marRight w:val="0"/>
      <w:marTop w:val="0"/>
      <w:marBottom w:val="0"/>
      <w:divBdr>
        <w:top w:val="none" w:sz="0" w:space="0" w:color="auto"/>
        <w:left w:val="none" w:sz="0" w:space="0" w:color="auto"/>
        <w:bottom w:val="none" w:sz="0" w:space="0" w:color="auto"/>
        <w:right w:val="none" w:sz="0" w:space="0" w:color="auto"/>
      </w:divBdr>
    </w:div>
    <w:div w:id="1688942395">
      <w:bodyDiv w:val="1"/>
      <w:marLeft w:val="0"/>
      <w:marRight w:val="0"/>
      <w:marTop w:val="0"/>
      <w:marBottom w:val="0"/>
      <w:divBdr>
        <w:top w:val="none" w:sz="0" w:space="0" w:color="auto"/>
        <w:left w:val="none" w:sz="0" w:space="0" w:color="auto"/>
        <w:bottom w:val="none" w:sz="0" w:space="0" w:color="auto"/>
        <w:right w:val="none" w:sz="0" w:space="0" w:color="auto"/>
      </w:divBdr>
    </w:div>
    <w:div w:id="1699042226">
      <w:bodyDiv w:val="1"/>
      <w:marLeft w:val="0"/>
      <w:marRight w:val="0"/>
      <w:marTop w:val="0"/>
      <w:marBottom w:val="0"/>
      <w:divBdr>
        <w:top w:val="none" w:sz="0" w:space="0" w:color="auto"/>
        <w:left w:val="none" w:sz="0" w:space="0" w:color="auto"/>
        <w:bottom w:val="none" w:sz="0" w:space="0" w:color="auto"/>
        <w:right w:val="none" w:sz="0" w:space="0" w:color="auto"/>
      </w:divBdr>
    </w:div>
    <w:div w:id="1700885884">
      <w:bodyDiv w:val="1"/>
      <w:marLeft w:val="0"/>
      <w:marRight w:val="0"/>
      <w:marTop w:val="0"/>
      <w:marBottom w:val="0"/>
      <w:divBdr>
        <w:top w:val="none" w:sz="0" w:space="0" w:color="auto"/>
        <w:left w:val="none" w:sz="0" w:space="0" w:color="auto"/>
        <w:bottom w:val="none" w:sz="0" w:space="0" w:color="auto"/>
        <w:right w:val="none" w:sz="0" w:space="0" w:color="auto"/>
      </w:divBdr>
    </w:div>
    <w:div w:id="1702198869">
      <w:bodyDiv w:val="1"/>
      <w:marLeft w:val="0"/>
      <w:marRight w:val="0"/>
      <w:marTop w:val="0"/>
      <w:marBottom w:val="0"/>
      <w:divBdr>
        <w:top w:val="none" w:sz="0" w:space="0" w:color="auto"/>
        <w:left w:val="none" w:sz="0" w:space="0" w:color="auto"/>
        <w:bottom w:val="none" w:sz="0" w:space="0" w:color="auto"/>
        <w:right w:val="none" w:sz="0" w:space="0" w:color="auto"/>
      </w:divBdr>
    </w:div>
    <w:div w:id="1713994285">
      <w:bodyDiv w:val="1"/>
      <w:marLeft w:val="0"/>
      <w:marRight w:val="0"/>
      <w:marTop w:val="0"/>
      <w:marBottom w:val="0"/>
      <w:divBdr>
        <w:top w:val="none" w:sz="0" w:space="0" w:color="auto"/>
        <w:left w:val="none" w:sz="0" w:space="0" w:color="auto"/>
        <w:bottom w:val="none" w:sz="0" w:space="0" w:color="auto"/>
        <w:right w:val="none" w:sz="0" w:space="0" w:color="auto"/>
      </w:divBdr>
    </w:div>
    <w:div w:id="1722551937">
      <w:bodyDiv w:val="1"/>
      <w:marLeft w:val="0"/>
      <w:marRight w:val="0"/>
      <w:marTop w:val="0"/>
      <w:marBottom w:val="0"/>
      <w:divBdr>
        <w:top w:val="none" w:sz="0" w:space="0" w:color="auto"/>
        <w:left w:val="none" w:sz="0" w:space="0" w:color="auto"/>
        <w:bottom w:val="none" w:sz="0" w:space="0" w:color="auto"/>
        <w:right w:val="none" w:sz="0" w:space="0" w:color="auto"/>
      </w:divBdr>
    </w:div>
    <w:div w:id="1772319457">
      <w:bodyDiv w:val="1"/>
      <w:marLeft w:val="0"/>
      <w:marRight w:val="0"/>
      <w:marTop w:val="0"/>
      <w:marBottom w:val="0"/>
      <w:divBdr>
        <w:top w:val="none" w:sz="0" w:space="0" w:color="auto"/>
        <w:left w:val="none" w:sz="0" w:space="0" w:color="auto"/>
        <w:bottom w:val="none" w:sz="0" w:space="0" w:color="auto"/>
        <w:right w:val="none" w:sz="0" w:space="0" w:color="auto"/>
      </w:divBdr>
    </w:div>
    <w:div w:id="1804880946">
      <w:bodyDiv w:val="1"/>
      <w:marLeft w:val="0"/>
      <w:marRight w:val="0"/>
      <w:marTop w:val="0"/>
      <w:marBottom w:val="0"/>
      <w:divBdr>
        <w:top w:val="none" w:sz="0" w:space="0" w:color="auto"/>
        <w:left w:val="none" w:sz="0" w:space="0" w:color="auto"/>
        <w:bottom w:val="none" w:sz="0" w:space="0" w:color="auto"/>
        <w:right w:val="none" w:sz="0" w:space="0" w:color="auto"/>
      </w:divBdr>
    </w:div>
    <w:div w:id="1828280278">
      <w:bodyDiv w:val="1"/>
      <w:marLeft w:val="0"/>
      <w:marRight w:val="0"/>
      <w:marTop w:val="0"/>
      <w:marBottom w:val="0"/>
      <w:divBdr>
        <w:top w:val="none" w:sz="0" w:space="0" w:color="auto"/>
        <w:left w:val="none" w:sz="0" w:space="0" w:color="auto"/>
        <w:bottom w:val="none" w:sz="0" w:space="0" w:color="auto"/>
        <w:right w:val="none" w:sz="0" w:space="0" w:color="auto"/>
      </w:divBdr>
    </w:div>
    <w:div w:id="1846943336">
      <w:bodyDiv w:val="1"/>
      <w:marLeft w:val="0"/>
      <w:marRight w:val="0"/>
      <w:marTop w:val="0"/>
      <w:marBottom w:val="0"/>
      <w:divBdr>
        <w:top w:val="none" w:sz="0" w:space="0" w:color="auto"/>
        <w:left w:val="none" w:sz="0" w:space="0" w:color="auto"/>
        <w:bottom w:val="none" w:sz="0" w:space="0" w:color="auto"/>
        <w:right w:val="none" w:sz="0" w:space="0" w:color="auto"/>
      </w:divBdr>
    </w:div>
    <w:div w:id="1874728932">
      <w:bodyDiv w:val="1"/>
      <w:marLeft w:val="0"/>
      <w:marRight w:val="0"/>
      <w:marTop w:val="0"/>
      <w:marBottom w:val="0"/>
      <w:divBdr>
        <w:top w:val="none" w:sz="0" w:space="0" w:color="auto"/>
        <w:left w:val="none" w:sz="0" w:space="0" w:color="auto"/>
        <w:bottom w:val="none" w:sz="0" w:space="0" w:color="auto"/>
        <w:right w:val="none" w:sz="0" w:space="0" w:color="auto"/>
      </w:divBdr>
    </w:div>
    <w:div w:id="1876768379">
      <w:bodyDiv w:val="1"/>
      <w:marLeft w:val="0"/>
      <w:marRight w:val="0"/>
      <w:marTop w:val="0"/>
      <w:marBottom w:val="0"/>
      <w:divBdr>
        <w:top w:val="none" w:sz="0" w:space="0" w:color="auto"/>
        <w:left w:val="none" w:sz="0" w:space="0" w:color="auto"/>
        <w:bottom w:val="none" w:sz="0" w:space="0" w:color="auto"/>
        <w:right w:val="none" w:sz="0" w:space="0" w:color="auto"/>
      </w:divBdr>
    </w:div>
    <w:div w:id="1915819814">
      <w:bodyDiv w:val="1"/>
      <w:marLeft w:val="0"/>
      <w:marRight w:val="0"/>
      <w:marTop w:val="0"/>
      <w:marBottom w:val="0"/>
      <w:divBdr>
        <w:top w:val="none" w:sz="0" w:space="0" w:color="auto"/>
        <w:left w:val="none" w:sz="0" w:space="0" w:color="auto"/>
        <w:bottom w:val="none" w:sz="0" w:space="0" w:color="auto"/>
        <w:right w:val="none" w:sz="0" w:space="0" w:color="auto"/>
      </w:divBdr>
    </w:div>
    <w:div w:id="1950819939">
      <w:bodyDiv w:val="1"/>
      <w:marLeft w:val="0"/>
      <w:marRight w:val="0"/>
      <w:marTop w:val="0"/>
      <w:marBottom w:val="0"/>
      <w:divBdr>
        <w:top w:val="none" w:sz="0" w:space="0" w:color="auto"/>
        <w:left w:val="none" w:sz="0" w:space="0" w:color="auto"/>
        <w:bottom w:val="none" w:sz="0" w:space="0" w:color="auto"/>
        <w:right w:val="none" w:sz="0" w:space="0" w:color="auto"/>
      </w:divBdr>
    </w:div>
    <w:div w:id="1984692968">
      <w:bodyDiv w:val="1"/>
      <w:marLeft w:val="0"/>
      <w:marRight w:val="0"/>
      <w:marTop w:val="0"/>
      <w:marBottom w:val="0"/>
      <w:divBdr>
        <w:top w:val="none" w:sz="0" w:space="0" w:color="auto"/>
        <w:left w:val="none" w:sz="0" w:space="0" w:color="auto"/>
        <w:bottom w:val="none" w:sz="0" w:space="0" w:color="auto"/>
        <w:right w:val="none" w:sz="0" w:space="0" w:color="auto"/>
      </w:divBdr>
    </w:div>
    <w:div w:id="1988776079">
      <w:bodyDiv w:val="1"/>
      <w:marLeft w:val="0"/>
      <w:marRight w:val="0"/>
      <w:marTop w:val="0"/>
      <w:marBottom w:val="0"/>
      <w:divBdr>
        <w:top w:val="none" w:sz="0" w:space="0" w:color="auto"/>
        <w:left w:val="none" w:sz="0" w:space="0" w:color="auto"/>
        <w:bottom w:val="none" w:sz="0" w:space="0" w:color="auto"/>
        <w:right w:val="none" w:sz="0" w:space="0" w:color="auto"/>
      </w:divBdr>
    </w:div>
    <w:div w:id="2078044466">
      <w:bodyDiv w:val="1"/>
      <w:marLeft w:val="0"/>
      <w:marRight w:val="0"/>
      <w:marTop w:val="0"/>
      <w:marBottom w:val="0"/>
      <w:divBdr>
        <w:top w:val="none" w:sz="0" w:space="0" w:color="auto"/>
        <w:left w:val="none" w:sz="0" w:space="0" w:color="auto"/>
        <w:bottom w:val="none" w:sz="0" w:space="0" w:color="auto"/>
        <w:right w:val="none" w:sz="0" w:space="0" w:color="auto"/>
      </w:divBdr>
    </w:div>
    <w:div w:id="2079011062">
      <w:bodyDiv w:val="1"/>
      <w:marLeft w:val="0"/>
      <w:marRight w:val="0"/>
      <w:marTop w:val="0"/>
      <w:marBottom w:val="0"/>
      <w:divBdr>
        <w:top w:val="none" w:sz="0" w:space="0" w:color="auto"/>
        <w:left w:val="none" w:sz="0" w:space="0" w:color="auto"/>
        <w:bottom w:val="none" w:sz="0" w:space="0" w:color="auto"/>
        <w:right w:val="none" w:sz="0" w:space="0" w:color="auto"/>
      </w:divBdr>
    </w:div>
    <w:div w:id="2104688924">
      <w:bodyDiv w:val="1"/>
      <w:marLeft w:val="0"/>
      <w:marRight w:val="0"/>
      <w:marTop w:val="0"/>
      <w:marBottom w:val="0"/>
      <w:divBdr>
        <w:top w:val="none" w:sz="0" w:space="0" w:color="auto"/>
        <w:left w:val="none" w:sz="0" w:space="0" w:color="auto"/>
        <w:bottom w:val="none" w:sz="0" w:space="0" w:color="auto"/>
        <w:right w:val="none" w:sz="0" w:space="0" w:color="auto"/>
      </w:divBdr>
    </w:div>
    <w:div w:id="2106265346">
      <w:bodyDiv w:val="1"/>
      <w:marLeft w:val="0"/>
      <w:marRight w:val="0"/>
      <w:marTop w:val="0"/>
      <w:marBottom w:val="0"/>
      <w:divBdr>
        <w:top w:val="none" w:sz="0" w:space="0" w:color="auto"/>
        <w:left w:val="none" w:sz="0" w:space="0" w:color="auto"/>
        <w:bottom w:val="none" w:sz="0" w:space="0" w:color="auto"/>
        <w:right w:val="none" w:sz="0" w:space="0" w:color="auto"/>
      </w:divBdr>
    </w:div>
    <w:div w:id="2108379995">
      <w:bodyDiv w:val="1"/>
      <w:marLeft w:val="0"/>
      <w:marRight w:val="0"/>
      <w:marTop w:val="0"/>
      <w:marBottom w:val="0"/>
      <w:divBdr>
        <w:top w:val="none" w:sz="0" w:space="0" w:color="auto"/>
        <w:left w:val="none" w:sz="0" w:space="0" w:color="auto"/>
        <w:bottom w:val="none" w:sz="0" w:space="0" w:color="auto"/>
        <w:right w:val="none" w:sz="0" w:space="0" w:color="auto"/>
      </w:divBdr>
    </w:div>
    <w:div w:id="2122414210">
      <w:bodyDiv w:val="1"/>
      <w:marLeft w:val="0"/>
      <w:marRight w:val="0"/>
      <w:marTop w:val="0"/>
      <w:marBottom w:val="0"/>
      <w:divBdr>
        <w:top w:val="none" w:sz="0" w:space="0" w:color="auto"/>
        <w:left w:val="none" w:sz="0" w:space="0" w:color="auto"/>
        <w:bottom w:val="none" w:sz="0" w:space="0" w:color="auto"/>
        <w:right w:val="none" w:sz="0" w:space="0" w:color="auto"/>
      </w:divBdr>
    </w:div>
    <w:div w:id="2135521558">
      <w:bodyDiv w:val="1"/>
      <w:marLeft w:val="0"/>
      <w:marRight w:val="0"/>
      <w:marTop w:val="0"/>
      <w:marBottom w:val="0"/>
      <w:divBdr>
        <w:top w:val="none" w:sz="0" w:space="0" w:color="auto"/>
        <w:left w:val="none" w:sz="0" w:space="0" w:color="auto"/>
        <w:bottom w:val="none" w:sz="0" w:space="0" w:color="auto"/>
        <w:right w:val="none" w:sz="0" w:space="0" w:color="auto"/>
      </w:divBdr>
    </w:div>
    <w:div w:id="21374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499DFE1B32341AEC9646B4B660F00" ma:contentTypeVersion="10" ma:contentTypeDescription="Een nieuw document maken." ma:contentTypeScope="" ma:versionID="0ea92ad9b102bb49bc74ef9f110ffc73">
  <xsd:schema xmlns:xsd="http://www.w3.org/2001/XMLSchema" xmlns:xs="http://www.w3.org/2001/XMLSchema" xmlns:p="http://schemas.microsoft.com/office/2006/metadata/properties" xmlns:ns3="1e186bad-aa7a-4c73-955a-7fc600486162" xmlns:ns4="ef4434f3-a8ce-4f6e-867c-9e4c66c10113" targetNamespace="http://schemas.microsoft.com/office/2006/metadata/properties" ma:root="true" ma:fieldsID="0ec403fec0188fc1866bbe2e2b5f419a" ns3:_="" ns4:_="">
    <xsd:import namespace="1e186bad-aa7a-4c73-955a-7fc600486162"/>
    <xsd:import namespace="ef4434f3-a8ce-4f6e-867c-9e4c66c101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86bad-aa7a-4c73-955a-7fc60048616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34f3-a8ce-4f6e-867c-9e4c66c101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2127C-8678-4C18-946A-A27235681138}">
  <ds:schemaRefs>
    <ds:schemaRef ds:uri="http://purl.org/dc/elements/1.1/"/>
    <ds:schemaRef ds:uri="http://schemas.microsoft.com/office/2006/metadata/properties"/>
    <ds:schemaRef ds:uri="ef4434f3-a8ce-4f6e-867c-9e4c66c1011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e186bad-aa7a-4c73-955a-7fc600486162"/>
    <ds:schemaRef ds:uri="http://www.w3.org/XML/1998/namespace"/>
    <ds:schemaRef ds:uri="http://purl.org/dc/dcmitype/"/>
  </ds:schemaRefs>
</ds:datastoreItem>
</file>

<file path=customXml/itemProps2.xml><?xml version="1.0" encoding="utf-8"?>
<ds:datastoreItem xmlns:ds="http://schemas.openxmlformats.org/officeDocument/2006/customXml" ds:itemID="{8965E1B2-E1D9-4451-AA3F-E1C36FECFF77}">
  <ds:schemaRefs>
    <ds:schemaRef ds:uri="http://schemas.microsoft.com/sharepoint/v3/contenttype/forms"/>
  </ds:schemaRefs>
</ds:datastoreItem>
</file>

<file path=customXml/itemProps3.xml><?xml version="1.0" encoding="utf-8"?>
<ds:datastoreItem xmlns:ds="http://schemas.openxmlformats.org/officeDocument/2006/customXml" ds:itemID="{71B2BFA0-9138-4935-A5B2-DAEBFE6EA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86bad-aa7a-4c73-955a-7fc600486162"/>
    <ds:schemaRef ds:uri="ef4434f3-a8ce-4f6e-867c-9e4c66c10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DED1D-FDB8-431C-A41D-D9205AA8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5020</Words>
  <Characters>27613</Characters>
  <Application>Microsoft Office Word</Application>
  <DocSecurity>0</DocSecurity>
  <Lines>230</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p.buijs@zn.nl</dc:creator>
  <cp:lastModifiedBy>Wietsma, Emmy</cp:lastModifiedBy>
  <cp:revision>2</cp:revision>
  <cp:lastPrinted>2019-10-17T08:11:00Z</cp:lastPrinted>
  <dcterms:created xsi:type="dcterms:W3CDTF">2020-10-20T09:47:00Z</dcterms:created>
  <dcterms:modified xsi:type="dcterms:W3CDTF">2020-10-20T09:47:00Z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0x010100342499DFE1B32341AEC9646B4B660F00</vt:lpwstr>
  </property>
</Properties>
</file>